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F38D" w14:textId="3572A1DF" w:rsidR="009744AD" w:rsidRPr="00D02AFA" w:rsidRDefault="00F958C1" w:rsidP="002F06E0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D02AFA" w:rsidRPr="00D02AFA">
        <w:rPr>
          <w:rFonts w:ascii="Times New Roman" w:hAnsi="Times New Roman" w:cs="Times New Roman"/>
          <w:sz w:val="24"/>
          <w:szCs w:val="24"/>
        </w:rPr>
        <w:t xml:space="preserve"> </w:t>
      </w:r>
      <w:r w:rsidR="00EB081F" w:rsidRPr="00EB081F">
        <w:rPr>
          <w:rFonts w:ascii="Times New Roman" w:hAnsi="Times New Roman" w:cs="Times New Roman"/>
          <w:smallCaps/>
          <w:sz w:val="24"/>
          <w:szCs w:val="24"/>
        </w:rPr>
        <w:t>de la villa</w:t>
      </w:r>
      <w:r w:rsidR="00D02AFA" w:rsidRPr="00D02AFA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2AFA" w:rsidRPr="00D02AFA">
        <w:rPr>
          <w:rFonts w:ascii="Times New Roman" w:hAnsi="Times New Roman" w:cs="Times New Roman"/>
          <w:sz w:val="24"/>
          <w:szCs w:val="24"/>
        </w:rPr>
        <w:t xml:space="preserve"> </w:t>
      </w:r>
      <w:r w:rsidR="00EB081F" w:rsidRPr="00EB081F">
        <w:rPr>
          <w:rFonts w:ascii="Times New Roman" w:hAnsi="Times New Roman" w:cs="Times New Roman"/>
          <w:smallCaps/>
          <w:sz w:val="24"/>
          <w:szCs w:val="24"/>
        </w:rPr>
        <w:t>cañizares</w:t>
      </w:r>
      <w:r w:rsidR="00D02AFA" w:rsidRPr="00D02AFA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2AFA" w:rsidRPr="00D02AFA">
        <w:rPr>
          <w:rFonts w:ascii="Times New Roman" w:hAnsi="Times New Roman" w:cs="Times New Roman"/>
          <w:sz w:val="24"/>
          <w:szCs w:val="24"/>
        </w:rPr>
        <w:t xml:space="preserve"> </w:t>
      </w:r>
      <w:r w:rsidR="00EB081F" w:rsidRPr="00EB081F">
        <w:rPr>
          <w:rFonts w:ascii="Times New Roman" w:hAnsi="Times New Roman" w:cs="Times New Roman"/>
          <w:smallCaps/>
          <w:sz w:val="24"/>
          <w:szCs w:val="24"/>
        </w:rPr>
        <w:t>falque</w:t>
      </w:r>
      <w:r w:rsidR="00D02AFA" w:rsidRPr="00D02AFA">
        <w:rPr>
          <w:rFonts w:ascii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hAnsi="Times New Roman" w:cs="Times New Roman"/>
          <w:sz w:val="24"/>
          <w:szCs w:val="24"/>
        </w:rPr>
        <w:t>F.</w:t>
      </w:r>
      <w:r w:rsidR="00D02AFA" w:rsidRPr="00D02AFA">
        <w:rPr>
          <w:rFonts w:ascii="Times New Roman" w:hAnsi="Times New Roman" w:cs="Times New Roman"/>
          <w:sz w:val="24"/>
          <w:szCs w:val="24"/>
        </w:rPr>
        <w:t xml:space="preserve"> </w:t>
      </w:r>
      <w:r w:rsidR="00EB081F" w:rsidRPr="00EB081F">
        <w:rPr>
          <w:rFonts w:ascii="Times New Roman" w:hAnsi="Times New Roman" w:cs="Times New Roman"/>
          <w:smallCaps/>
          <w:sz w:val="24"/>
          <w:szCs w:val="24"/>
        </w:rPr>
        <w:t>gonzález</w:t>
      </w:r>
      <w:r>
        <w:rPr>
          <w:rFonts w:ascii="Times New Roman" w:hAnsi="Times New Roman" w:cs="Times New Roman"/>
          <w:sz w:val="24"/>
          <w:szCs w:val="24"/>
        </w:rPr>
        <w:t>, J.</w:t>
      </w:r>
      <w:r w:rsidR="00D02AFA" w:rsidRPr="00D02AFA">
        <w:rPr>
          <w:rFonts w:ascii="Times New Roman" w:hAnsi="Times New Roman" w:cs="Times New Roman"/>
          <w:sz w:val="24"/>
          <w:szCs w:val="24"/>
        </w:rPr>
        <w:t xml:space="preserve"> </w:t>
      </w:r>
      <w:r w:rsidR="00EB081F" w:rsidRPr="00EB081F">
        <w:rPr>
          <w:rFonts w:ascii="Times New Roman" w:hAnsi="Times New Roman" w:cs="Times New Roman"/>
          <w:smallCaps/>
          <w:sz w:val="24"/>
          <w:szCs w:val="24"/>
        </w:rPr>
        <w:t>siles</w:t>
      </w:r>
      <w:r w:rsidR="00EB081F" w:rsidRPr="00D02AFA">
        <w:rPr>
          <w:rFonts w:ascii="Times New Roman" w:hAnsi="Times New Roman" w:cs="Times New Roman"/>
          <w:sz w:val="24"/>
          <w:szCs w:val="24"/>
        </w:rPr>
        <w:t xml:space="preserve"> </w:t>
      </w:r>
      <w:r w:rsidR="00D02AFA" w:rsidRPr="00D02AFA">
        <w:rPr>
          <w:rFonts w:ascii="Times New Roman" w:hAnsi="Times New Roman" w:cs="Times New Roman"/>
          <w:sz w:val="24"/>
          <w:szCs w:val="24"/>
        </w:rPr>
        <w:t xml:space="preserve">(eds.), </w:t>
      </w:r>
      <w:r w:rsidR="009744AD" w:rsidRPr="00D02AFA">
        <w:rPr>
          <w:rFonts w:ascii="Times New Roman" w:hAnsi="Times New Roman" w:cs="Times New Roman"/>
          <w:i/>
          <w:sz w:val="24"/>
          <w:szCs w:val="24"/>
        </w:rPr>
        <w:t>Ianua Classicorum. Temas y formas del Mundo Clásico</w:t>
      </w:r>
      <w:r w:rsidR="00EB081F">
        <w:rPr>
          <w:rFonts w:ascii="Times New Roman" w:hAnsi="Times New Roman" w:cs="Times New Roman"/>
          <w:sz w:val="24"/>
          <w:szCs w:val="24"/>
        </w:rPr>
        <w:t xml:space="preserve">. </w:t>
      </w:r>
      <w:r w:rsidR="00EB081F" w:rsidRPr="00EB081F">
        <w:rPr>
          <w:rFonts w:ascii="Times New Roman" w:hAnsi="Times New Roman" w:cs="Times New Roman"/>
          <w:i/>
          <w:sz w:val="24"/>
          <w:szCs w:val="24"/>
        </w:rPr>
        <w:t>vol. II: Literatura Latina</w:t>
      </w:r>
      <w:r w:rsidR="00EB08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SEEC</w:t>
      </w:r>
      <w:r w:rsidR="00EB081F">
        <w:rPr>
          <w:rFonts w:ascii="Times New Roman" w:hAnsi="Times New Roman" w:cs="Times New Roman"/>
          <w:sz w:val="24"/>
          <w:szCs w:val="24"/>
        </w:rPr>
        <w:t>, Madrid, 2015, pp. 311 – 553.</w:t>
      </w:r>
    </w:p>
    <w:p w14:paraId="1A9FFAF5" w14:textId="77777777" w:rsidR="00F87807" w:rsidRPr="00541F11" w:rsidRDefault="00F87807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14:paraId="20D04F33" w14:textId="2ABF37A4" w:rsidR="005F7A0C" w:rsidRDefault="00106AD0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Gracias a su </w:t>
      </w:r>
      <w:r w:rsidR="0012108F">
        <w:rPr>
          <w:rFonts w:ascii="Times New Roman" w:hAnsi="Times New Roman" w:cs="Times New Roman"/>
        </w:rPr>
        <w:t xml:space="preserve">amplia </w:t>
      </w:r>
      <w:r>
        <w:rPr>
          <w:rFonts w:ascii="Times New Roman" w:hAnsi="Times New Roman" w:cs="Times New Roman"/>
        </w:rPr>
        <w:t xml:space="preserve">riqueza, la </w:t>
      </w:r>
      <w:r w:rsidR="00872FD7">
        <w:rPr>
          <w:rFonts w:ascii="Times New Roman" w:hAnsi="Times New Roman" w:cs="Times New Roman"/>
        </w:rPr>
        <w:t xml:space="preserve">literatura latina </w:t>
      </w:r>
      <w:r>
        <w:rPr>
          <w:rFonts w:ascii="Times New Roman" w:hAnsi="Times New Roman" w:cs="Times New Roman"/>
        </w:rPr>
        <w:t>se presta</w:t>
      </w:r>
      <w:r w:rsidR="00AD2DE2">
        <w:rPr>
          <w:rFonts w:ascii="Times New Roman" w:hAnsi="Times New Roman" w:cs="Times New Roman"/>
        </w:rPr>
        <w:t xml:space="preserve"> continuamente</w:t>
      </w:r>
      <w:r w:rsidR="00A329D6">
        <w:rPr>
          <w:rFonts w:ascii="Times New Roman" w:hAnsi="Times New Roman" w:cs="Times New Roman"/>
        </w:rPr>
        <w:t xml:space="preserve"> a nuevos análisis, de ahí la variedad y multiplicidad de</w:t>
      </w:r>
      <w:r w:rsidR="00EB081F" w:rsidRPr="00EB081F">
        <w:rPr>
          <w:rFonts w:ascii="Times New Roman" w:hAnsi="Times New Roman" w:cs="Times New Roman"/>
        </w:rPr>
        <w:t xml:space="preserve"> temas tratados en e</w:t>
      </w:r>
      <w:r w:rsidR="002A2473" w:rsidRPr="00EB081F">
        <w:rPr>
          <w:rFonts w:ascii="Times New Roman" w:hAnsi="Times New Roman" w:cs="Times New Roman"/>
        </w:rPr>
        <w:t>sta</w:t>
      </w:r>
      <w:r w:rsidR="009744AD" w:rsidRPr="00EB081F">
        <w:rPr>
          <w:rFonts w:ascii="Times New Roman" w:hAnsi="Times New Roman" w:cs="Times New Roman"/>
        </w:rPr>
        <w:t xml:space="preserve"> sección de </w:t>
      </w:r>
      <w:r w:rsidR="00EB081F" w:rsidRPr="00EB081F">
        <w:rPr>
          <w:rFonts w:ascii="Times New Roman" w:hAnsi="Times New Roman" w:cs="Times New Roman"/>
        </w:rPr>
        <w:t>las actas</w:t>
      </w:r>
      <w:r w:rsidR="009744AD" w:rsidRPr="00EB081F">
        <w:rPr>
          <w:rFonts w:ascii="Times New Roman" w:hAnsi="Times New Roman" w:cs="Times New Roman"/>
        </w:rPr>
        <w:t xml:space="preserve"> </w:t>
      </w:r>
      <w:r w:rsidR="00825F3C">
        <w:rPr>
          <w:rFonts w:ascii="Times New Roman" w:hAnsi="Times New Roman" w:cs="Times New Roman"/>
        </w:rPr>
        <w:t xml:space="preserve">del XIII Congreso de la Sociedad Española de Estudios Clásicos. </w:t>
      </w:r>
      <w:r w:rsidR="00263534">
        <w:rPr>
          <w:rFonts w:ascii="Times New Roman" w:hAnsi="Times New Roman" w:cs="Times New Roman"/>
        </w:rPr>
        <w:t>Comienza</w:t>
      </w:r>
      <w:r w:rsidR="009744AD" w:rsidRPr="00541F11">
        <w:rPr>
          <w:rFonts w:ascii="Times New Roman" w:hAnsi="Times New Roman" w:cs="Times New Roman"/>
        </w:rPr>
        <w:t xml:space="preserve"> con la ponencia de M.ª Consuelo Álvarez y Rosa M.ª Iglesias, “Voces femeninas en la épica latina” (pp. 313</w:t>
      </w:r>
      <w:r w:rsidR="00825F3C">
        <w:rPr>
          <w:rFonts w:ascii="Times New Roman" w:hAnsi="Times New Roman" w:cs="Times New Roman"/>
        </w:rPr>
        <w:t xml:space="preserve"> – </w:t>
      </w:r>
      <w:r w:rsidR="00DF1AA1">
        <w:rPr>
          <w:rFonts w:ascii="Times New Roman" w:hAnsi="Times New Roman" w:cs="Times New Roman"/>
        </w:rPr>
        <w:t>348)</w:t>
      </w:r>
      <w:r w:rsidR="00AD2DE2">
        <w:rPr>
          <w:rFonts w:ascii="Times New Roman" w:hAnsi="Times New Roman" w:cs="Times New Roman"/>
        </w:rPr>
        <w:t>,</w:t>
      </w:r>
      <w:r w:rsidR="00DF1AA1">
        <w:rPr>
          <w:rFonts w:ascii="Times New Roman" w:hAnsi="Times New Roman" w:cs="Times New Roman"/>
        </w:rPr>
        <w:t xml:space="preserve"> en la que </w:t>
      </w:r>
      <w:r w:rsidR="009744AD" w:rsidRPr="00541F11">
        <w:rPr>
          <w:rFonts w:ascii="Times New Roman" w:hAnsi="Times New Roman" w:cs="Times New Roman"/>
        </w:rPr>
        <w:t xml:space="preserve">se </w:t>
      </w:r>
      <w:r w:rsidR="00F26828">
        <w:rPr>
          <w:rFonts w:ascii="Times New Roman" w:hAnsi="Times New Roman" w:cs="Times New Roman"/>
        </w:rPr>
        <w:t>recorren</w:t>
      </w:r>
      <w:r w:rsidR="002A2473">
        <w:rPr>
          <w:rFonts w:ascii="Times New Roman" w:hAnsi="Times New Roman" w:cs="Times New Roman"/>
        </w:rPr>
        <w:t xml:space="preserve"> los poemas épicos latinos </w:t>
      </w:r>
      <w:r w:rsidR="00F26828">
        <w:rPr>
          <w:rFonts w:ascii="Times New Roman" w:hAnsi="Times New Roman" w:cs="Times New Roman"/>
        </w:rPr>
        <w:t>prestando atención</w:t>
      </w:r>
      <w:r w:rsidR="0063656B">
        <w:rPr>
          <w:rFonts w:ascii="Times New Roman" w:hAnsi="Times New Roman" w:cs="Times New Roman"/>
        </w:rPr>
        <w:t xml:space="preserve"> </w:t>
      </w:r>
      <w:r w:rsidR="00F26828">
        <w:rPr>
          <w:rFonts w:ascii="Times New Roman" w:hAnsi="Times New Roman" w:cs="Times New Roman"/>
        </w:rPr>
        <w:t>a</w:t>
      </w:r>
      <w:r w:rsidR="009744AD" w:rsidRPr="00541F11">
        <w:rPr>
          <w:rFonts w:ascii="Times New Roman" w:hAnsi="Times New Roman" w:cs="Times New Roman"/>
        </w:rPr>
        <w:t xml:space="preserve">l papel de los personajes femeninos como narradoras de historias. </w:t>
      </w:r>
    </w:p>
    <w:p w14:paraId="296F024C" w14:textId="6E802B7F" w:rsidR="002A2CCA" w:rsidRPr="00541F11" w:rsidRDefault="00DC372C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</w:t>
      </w:r>
      <w:r w:rsidR="008E302C">
        <w:rPr>
          <w:rFonts w:ascii="Times New Roman" w:hAnsi="Times New Roman" w:cs="Times New Roman"/>
        </w:rPr>
        <w:t xml:space="preserve"> </w:t>
      </w:r>
      <w:r w:rsidR="00BA772C">
        <w:rPr>
          <w:rFonts w:ascii="Times New Roman" w:hAnsi="Times New Roman" w:cs="Times New Roman"/>
        </w:rPr>
        <w:t>se abre el turno de las comunicaciones, que</w:t>
      </w:r>
      <w:r w:rsidR="00923BBD">
        <w:rPr>
          <w:rFonts w:ascii="Times New Roman" w:hAnsi="Times New Roman" w:cs="Times New Roman"/>
        </w:rPr>
        <w:t xml:space="preserve"> se </w:t>
      </w:r>
      <w:r w:rsidR="00844A97">
        <w:rPr>
          <w:rFonts w:ascii="Times New Roman" w:hAnsi="Times New Roman" w:cs="Times New Roman"/>
        </w:rPr>
        <w:t>mencio</w:t>
      </w:r>
      <w:r w:rsidR="002B06EE">
        <w:rPr>
          <w:rFonts w:ascii="Times New Roman" w:hAnsi="Times New Roman" w:cs="Times New Roman"/>
        </w:rPr>
        <w:t>n</w:t>
      </w:r>
      <w:r w:rsidR="00844A97">
        <w:rPr>
          <w:rFonts w:ascii="Times New Roman" w:hAnsi="Times New Roman" w:cs="Times New Roman"/>
        </w:rPr>
        <w:t>arán aquí</w:t>
      </w:r>
      <w:r w:rsidR="00923BBD">
        <w:rPr>
          <w:rFonts w:ascii="Times New Roman" w:hAnsi="Times New Roman" w:cs="Times New Roman"/>
        </w:rPr>
        <w:t xml:space="preserve"> </w:t>
      </w:r>
      <w:r w:rsidR="00467F23">
        <w:rPr>
          <w:rFonts w:ascii="Times New Roman" w:hAnsi="Times New Roman" w:cs="Times New Roman"/>
        </w:rPr>
        <w:t>siguiendo un criterio temático</w:t>
      </w:r>
      <w:r w:rsidR="00923BBD">
        <w:rPr>
          <w:rFonts w:ascii="Times New Roman" w:hAnsi="Times New Roman" w:cs="Times New Roman"/>
        </w:rPr>
        <w:t>.</w:t>
      </w:r>
      <w:r w:rsidR="005F7A0C">
        <w:rPr>
          <w:rFonts w:ascii="Times New Roman" w:hAnsi="Times New Roman" w:cs="Times New Roman"/>
        </w:rPr>
        <w:t xml:space="preserve"> Entre ellas t</w:t>
      </w:r>
      <w:r w:rsidR="0063656B">
        <w:rPr>
          <w:rFonts w:ascii="Times New Roman" w:hAnsi="Times New Roman" w:cs="Times New Roman"/>
        </w:rPr>
        <w:t>ambién</w:t>
      </w:r>
      <w:r w:rsidR="00BA772C">
        <w:rPr>
          <w:rFonts w:ascii="Times New Roman" w:hAnsi="Times New Roman" w:cs="Times New Roman"/>
        </w:rPr>
        <w:t xml:space="preserve"> </w:t>
      </w:r>
      <w:r w:rsidR="00C36CAF">
        <w:rPr>
          <w:rFonts w:ascii="Times New Roman" w:hAnsi="Times New Roman" w:cs="Times New Roman"/>
        </w:rPr>
        <w:t>hay lugar para lo</w:t>
      </w:r>
      <w:r w:rsidR="005F7A0C">
        <w:rPr>
          <w:rFonts w:ascii="Times New Roman" w:hAnsi="Times New Roman" w:cs="Times New Roman"/>
        </w:rPr>
        <w:t xml:space="preserve"> femenino</w:t>
      </w:r>
      <w:r w:rsidR="00C36CAF">
        <w:rPr>
          <w:rFonts w:ascii="Times New Roman" w:hAnsi="Times New Roman" w:cs="Times New Roman"/>
        </w:rPr>
        <w:t>:</w:t>
      </w:r>
      <w:r w:rsidR="005F7A0C">
        <w:rPr>
          <w:rFonts w:ascii="Times New Roman" w:hAnsi="Times New Roman" w:cs="Times New Roman"/>
        </w:rPr>
        <w:t xml:space="preserve"> </w:t>
      </w:r>
      <w:r w:rsidR="00E14B75">
        <w:rPr>
          <w:rFonts w:ascii="Times New Roman" w:hAnsi="Times New Roman" w:cs="Times New Roman"/>
        </w:rPr>
        <w:t>“L</w:t>
      </w:r>
      <w:r w:rsidR="008E30E7" w:rsidRPr="00541F11">
        <w:rPr>
          <w:rFonts w:ascii="Times New Roman" w:hAnsi="Times New Roman" w:cs="Times New Roman"/>
        </w:rPr>
        <w:t>a matrona ideal en las letras romanas: la soledad doméstica”</w:t>
      </w:r>
      <w:r w:rsidR="008E30E7">
        <w:rPr>
          <w:rFonts w:ascii="Times New Roman" w:hAnsi="Times New Roman" w:cs="Times New Roman"/>
        </w:rPr>
        <w:t>, de</w:t>
      </w:r>
      <w:r w:rsidR="0063656B">
        <w:rPr>
          <w:rFonts w:ascii="Times New Roman" w:hAnsi="Times New Roman" w:cs="Times New Roman"/>
        </w:rPr>
        <w:t xml:space="preserve"> </w:t>
      </w:r>
      <w:r w:rsidR="009744AD" w:rsidRPr="00541F11">
        <w:rPr>
          <w:rFonts w:ascii="Times New Roman" w:hAnsi="Times New Roman" w:cs="Times New Roman"/>
        </w:rPr>
        <w:t xml:space="preserve">Eulogio Baeza-Angulo </w:t>
      </w:r>
      <w:r w:rsidR="00825F3C">
        <w:rPr>
          <w:rFonts w:ascii="Times New Roman" w:hAnsi="Times New Roman" w:cs="Times New Roman"/>
        </w:rPr>
        <w:t>(pp. 359 –</w:t>
      </w:r>
      <w:r w:rsidR="00AB0724">
        <w:rPr>
          <w:rFonts w:ascii="Times New Roman" w:hAnsi="Times New Roman" w:cs="Times New Roman"/>
        </w:rPr>
        <w:t xml:space="preserve"> 366</w:t>
      </w:r>
      <w:r w:rsidR="00825F3C">
        <w:rPr>
          <w:rFonts w:ascii="Times New Roman" w:hAnsi="Times New Roman" w:cs="Times New Roman"/>
        </w:rPr>
        <w:t>)</w:t>
      </w:r>
      <w:r w:rsidR="00C36CAF">
        <w:rPr>
          <w:rFonts w:ascii="Times New Roman" w:hAnsi="Times New Roman" w:cs="Times New Roman"/>
        </w:rPr>
        <w:t xml:space="preserve"> </w:t>
      </w:r>
      <w:r w:rsidR="008E30E7">
        <w:rPr>
          <w:rFonts w:ascii="Times New Roman" w:hAnsi="Times New Roman" w:cs="Times New Roman"/>
        </w:rPr>
        <w:t>muestra</w:t>
      </w:r>
      <w:r w:rsidR="009744AD" w:rsidRPr="00541F11">
        <w:rPr>
          <w:rFonts w:ascii="Times New Roman" w:hAnsi="Times New Roman" w:cs="Times New Roman"/>
        </w:rPr>
        <w:t xml:space="preserve"> cómo se refleja en la literatura latina el comportamiento </w:t>
      </w:r>
      <w:r w:rsidR="006F2DF2">
        <w:rPr>
          <w:rFonts w:ascii="Times New Roman" w:hAnsi="Times New Roman" w:cs="Times New Roman"/>
        </w:rPr>
        <w:t xml:space="preserve">ideal de las mujeres </w:t>
      </w:r>
      <w:r w:rsidR="000C1442">
        <w:rPr>
          <w:rFonts w:ascii="Times New Roman" w:hAnsi="Times New Roman" w:cs="Times New Roman"/>
        </w:rPr>
        <w:t>ante la ausencia de</w:t>
      </w:r>
      <w:r w:rsidR="009744AD" w:rsidRPr="00541F11">
        <w:rPr>
          <w:rFonts w:ascii="Times New Roman" w:hAnsi="Times New Roman" w:cs="Times New Roman"/>
        </w:rPr>
        <w:t xml:space="preserve"> su </w:t>
      </w:r>
      <w:r w:rsidR="006F2DF2">
        <w:rPr>
          <w:rFonts w:ascii="Times New Roman" w:hAnsi="Times New Roman" w:cs="Times New Roman"/>
        </w:rPr>
        <w:t>esposo</w:t>
      </w:r>
      <w:r w:rsidR="00620F28">
        <w:rPr>
          <w:rFonts w:ascii="Times New Roman" w:hAnsi="Times New Roman" w:cs="Times New Roman"/>
        </w:rPr>
        <w:t>.</w:t>
      </w:r>
      <w:r w:rsidR="00EC5B46">
        <w:rPr>
          <w:rFonts w:ascii="Times New Roman" w:hAnsi="Times New Roman" w:cs="Times New Roman"/>
        </w:rPr>
        <w:t xml:space="preserve"> </w:t>
      </w:r>
      <w:r w:rsidR="00396E17">
        <w:rPr>
          <w:rFonts w:ascii="Times New Roman" w:hAnsi="Times New Roman" w:cs="Times New Roman"/>
        </w:rPr>
        <w:t>Prácticamente</w:t>
      </w:r>
      <w:r w:rsidR="00A107CE">
        <w:rPr>
          <w:rFonts w:ascii="Times New Roman" w:hAnsi="Times New Roman" w:cs="Times New Roman"/>
        </w:rPr>
        <w:t xml:space="preserve"> </w:t>
      </w:r>
      <w:r w:rsidR="00396E17">
        <w:rPr>
          <w:rFonts w:ascii="Times New Roman" w:hAnsi="Times New Roman" w:cs="Times New Roman"/>
        </w:rPr>
        <w:t>o</w:t>
      </w:r>
      <w:r w:rsidR="00A107CE">
        <w:rPr>
          <w:rFonts w:ascii="Times New Roman" w:hAnsi="Times New Roman" w:cs="Times New Roman"/>
        </w:rPr>
        <w:t>puesto</w:t>
      </w:r>
      <w:r w:rsidR="00421B5B">
        <w:rPr>
          <w:rFonts w:ascii="Times New Roman" w:hAnsi="Times New Roman" w:cs="Times New Roman"/>
        </w:rPr>
        <w:t xml:space="preserve"> al </w:t>
      </w:r>
      <w:r w:rsidR="00A107CE">
        <w:rPr>
          <w:rFonts w:ascii="Times New Roman" w:hAnsi="Times New Roman" w:cs="Times New Roman"/>
        </w:rPr>
        <w:t>prototipo</w:t>
      </w:r>
      <w:r w:rsidR="00421B5B">
        <w:rPr>
          <w:rFonts w:ascii="Times New Roman" w:hAnsi="Times New Roman" w:cs="Times New Roman"/>
        </w:rPr>
        <w:t xml:space="preserve"> de la matrona</w:t>
      </w:r>
      <w:r w:rsidR="000C1442">
        <w:rPr>
          <w:rFonts w:ascii="Times New Roman" w:hAnsi="Times New Roman" w:cs="Times New Roman"/>
        </w:rPr>
        <w:t xml:space="preserve"> fiel</w:t>
      </w:r>
      <w:r w:rsidR="00A107CE">
        <w:rPr>
          <w:rFonts w:ascii="Times New Roman" w:hAnsi="Times New Roman" w:cs="Times New Roman"/>
        </w:rPr>
        <w:t xml:space="preserve"> </w:t>
      </w:r>
      <w:r w:rsidR="00421B5B">
        <w:rPr>
          <w:rFonts w:ascii="Times New Roman" w:hAnsi="Times New Roman" w:cs="Times New Roman"/>
        </w:rPr>
        <w:t>es el</w:t>
      </w:r>
      <w:r w:rsidR="00A107CE">
        <w:rPr>
          <w:rFonts w:ascii="Times New Roman" w:hAnsi="Times New Roman" w:cs="Times New Roman"/>
        </w:rPr>
        <w:t xml:space="preserve"> modelo</w:t>
      </w:r>
      <w:r w:rsidR="00421B5B">
        <w:rPr>
          <w:rFonts w:ascii="Times New Roman" w:hAnsi="Times New Roman" w:cs="Times New Roman"/>
        </w:rPr>
        <w:t xml:space="preserve"> del </w:t>
      </w:r>
      <w:r w:rsidR="00421B5B" w:rsidRPr="00421B5B">
        <w:rPr>
          <w:rFonts w:ascii="Times New Roman" w:hAnsi="Times New Roman" w:cs="Times New Roman"/>
          <w:i/>
        </w:rPr>
        <w:t>coquus</w:t>
      </w:r>
      <w:r w:rsidR="00421B5B">
        <w:rPr>
          <w:rFonts w:ascii="Times New Roman" w:hAnsi="Times New Roman" w:cs="Times New Roman"/>
        </w:rPr>
        <w:t xml:space="preserve"> de las comedias plautinas</w:t>
      </w:r>
      <w:r w:rsidR="00396E17">
        <w:rPr>
          <w:rFonts w:ascii="Times New Roman" w:hAnsi="Times New Roman" w:cs="Times New Roman"/>
        </w:rPr>
        <w:t xml:space="preserve"> </w:t>
      </w:r>
      <w:r w:rsidR="00421B5B">
        <w:rPr>
          <w:rFonts w:ascii="Times New Roman" w:hAnsi="Times New Roman" w:cs="Times New Roman"/>
        </w:rPr>
        <w:t xml:space="preserve">que </w:t>
      </w:r>
      <w:r w:rsidR="00421B5B" w:rsidRPr="00541F11">
        <w:rPr>
          <w:rFonts w:ascii="Times New Roman" w:hAnsi="Times New Roman" w:cs="Times New Roman"/>
        </w:rPr>
        <w:t>Viviana Díez</w:t>
      </w:r>
      <w:r w:rsidR="00421B5B">
        <w:rPr>
          <w:rFonts w:ascii="Times New Roman" w:hAnsi="Times New Roman" w:cs="Times New Roman"/>
        </w:rPr>
        <w:t xml:space="preserve"> </w:t>
      </w:r>
      <w:r w:rsidR="00A107CE">
        <w:rPr>
          <w:rFonts w:ascii="Times New Roman" w:hAnsi="Times New Roman" w:cs="Times New Roman"/>
        </w:rPr>
        <w:t>perfila</w:t>
      </w:r>
      <w:r w:rsidR="00421B5B">
        <w:rPr>
          <w:rFonts w:ascii="Times New Roman" w:hAnsi="Times New Roman" w:cs="Times New Roman"/>
        </w:rPr>
        <w:t xml:space="preserve"> en </w:t>
      </w:r>
      <w:r w:rsidR="002A2CCA" w:rsidRPr="00541F11">
        <w:rPr>
          <w:rFonts w:ascii="Times New Roman" w:hAnsi="Times New Roman" w:cs="Times New Roman"/>
        </w:rPr>
        <w:t>“</w:t>
      </w:r>
      <w:r w:rsidR="002A2CCA" w:rsidRPr="00541F11">
        <w:rPr>
          <w:rFonts w:ascii="Times New Roman" w:hAnsi="Times New Roman" w:cs="Times New Roman"/>
          <w:i/>
        </w:rPr>
        <w:t>Furtiﬁcas</w:t>
      </w:r>
      <w:r w:rsidR="002A2CCA" w:rsidRPr="00541F11">
        <w:rPr>
          <w:rFonts w:ascii="Times New Roman" w:hAnsi="Times New Roman" w:cs="Times New Roman"/>
        </w:rPr>
        <w:t xml:space="preserve"> </w:t>
      </w:r>
      <w:r w:rsidR="002A2CCA" w:rsidRPr="00541F11">
        <w:rPr>
          <w:rFonts w:ascii="Times New Roman" w:hAnsi="Times New Roman" w:cs="Times New Roman"/>
          <w:i/>
        </w:rPr>
        <w:t>manus</w:t>
      </w:r>
      <w:r w:rsidR="002A2CCA" w:rsidRPr="00541F11">
        <w:rPr>
          <w:rFonts w:ascii="Times New Roman" w:hAnsi="Times New Roman" w:cs="Times New Roman"/>
        </w:rPr>
        <w:t xml:space="preserve">: cuerpo, latrocinio y subalternidad en el </w:t>
      </w:r>
      <w:r w:rsidR="002A2CCA" w:rsidRPr="00541F11">
        <w:rPr>
          <w:rFonts w:ascii="Times New Roman" w:hAnsi="Times New Roman" w:cs="Times New Roman"/>
          <w:i/>
        </w:rPr>
        <w:t>coquus</w:t>
      </w:r>
      <w:r w:rsidR="002A2CCA" w:rsidRPr="00541F11">
        <w:rPr>
          <w:rFonts w:ascii="Times New Roman" w:hAnsi="Times New Roman" w:cs="Times New Roman"/>
        </w:rPr>
        <w:t xml:space="preserve"> plautino”</w:t>
      </w:r>
      <w:r w:rsidR="00825F3C">
        <w:rPr>
          <w:rFonts w:ascii="Times New Roman" w:hAnsi="Times New Roman" w:cs="Times New Roman"/>
        </w:rPr>
        <w:t xml:space="preserve"> (pp. 417 – 424)</w:t>
      </w:r>
      <w:r w:rsidR="002A2CCA" w:rsidRPr="00541F11">
        <w:rPr>
          <w:rFonts w:ascii="Times New Roman" w:hAnsi="Times New Roman" w:cs="Times New Roman"/>
        </w:rPr>
        <w:t xml:space="preserve">. </w:t>
      </w:r>
      <w:r w:rsidR="00411467">
        <w:rPr>
          <w:rFonts w:ascii="Times New Roman" w:hAnsi="Times New Roman" w:cs="Times New Roman"/>
        </w:rPr>
        <w:t>O</w:t>
      </w:r>
      <w:r w:rsidR="00421B5B">
        <w:rPr>
          <w:rFonts w:ascii="Times New Roman" w:hAnsi="Times New Roman" w:cs="Times New Roman"/>
        </w:rPr>
        <w:t xml:space="preserve">tro </w:t>
      </w:r>
      <w:r w:rsidR="00FF060D">
        <w:rPr>
          <w:rFonts w:ascii="Times New Roman" w:hAnsi="Times New Roman" w:cs="Times New Roman"/>
        </w:rPr>
        <w:t>motivo típico de</w:t>
      </w:r>
      <w:r w:rsidR="00973530">
        <w:rPr>
          <w:rFonts w:ascii="Times New Roman" w:hAnsi="Times New Roman" w:cs="Times New Roman"/>
        </w:rPr>
        <w:t xml:space="preserve"> las obras de</w:t>
      </w:r>
      <w:r w:rsidR="00FF060D">
        <w:rPr>
          <w:rFonts w:ascii="Times New Roman" w:hAnsi="Times New Roman" w:cs="Times New Roman"/>
        </w:rPr>
        <w:t xml:space="preserve"> Plauto y</w:t>
      </w:r>
      <w:r w:rsidR="00973530">
        <w:rPr>
          <w:rFonts w:ascii="Times New Roman" w:hAnsi="Times New Roman" w:cs="Times New Roman"/>
        </w:rPr>
        <w:t>, en general, de la comedia, es el tesoro,</w:t>
      </w:r>
      <w:r w:rsidR="00632144">
        <w:rPr>
          <w:rFonts w:ascii="Times New Roman" w:hAnsi="Times New Roman" w:cs="Times New Roman"/>
        </w:rPr>
        <w:t xml:space="preserve"> sobre </w:t>
      </w:r>
      <w:r w:rsidR="00973530">
        <w:rPr>
          <w:rFonts w:ascii="Times New Roman" w:hAnsi="Times New Roman" w:cs="Times New Roman"/>
        </w:rPr>
        <w:t>el que trata</w:t>
      </w:r>
      <w:r w:rsidR="00FF060D">
        <w:rPr>
          <w:rFonts w:ascii="Times New Roman" w:hAnsi="Times New Roman" w:cs="Times New Roman"/>
        </w:rPr>
        <w:t xml:space="preserve"> </w:t>
      </w:r>
      <w:r w:rsidR="00973530">
        <w:rPr>
          <w:rFonts w:ascii="Times New Roman" w:hAnsi="Times New Roman" w:cs="Times New Roman"/>
        </w:rPr>
        <w:t>Jorge Pérez Asensio en</w:t>
      </w:r>
      <w:r w:rsidR="002A2CCA" w:rsidRPr="00541F11">
        <w:rPr>
          <w:rFonts w:ascii="Times New Roman" w:hAnsi="Times New Roman" w:cs="Times New Roman"/>
        </w:rPr>
        <w:t xml:space="preserve"> </w:t>
      </w:r>
      <w:r w:rsidR="00973530">
        <w:rPr>
          <w:rFonts w:ascii="Times New Roman" w:hAnsi="Times New Roman" w:cs="Times New Roman"/>
        </w:rPr>
        <w:t>“</w:t>
      </w:r>
      <w:r w:rsidR="002A2CCA" w:rsidRPr="00541F11">
        <w:rPr>
          <w:rFonts w:ascii="Times New Roman" w:hAnsi="Times New Roman" w:cs="Times New Roman"/>
        </w:rPr>
        <w:t>El motivo del tesoro en la comedia grecorromana</w:t>
      </w:r>
      <w:r w:rsidR="00973530">
        <w:rPr>
          <w:rFonts w:ascii="Times New Roman" w:hAnsi="Times New Roman" w:cs="Times New Roman"/>
        </w:rPr>
        <w:t>”</w:t>
      </w:r>
      <w:r w:rsidR="002A2CCA" w:rsidRPr="00541F11">
        <w:rPr>
          <w:rFonts w:ascii="Times New Roman" w:hAnsi="Times New Roman" w:cs="Times New Roman"/>
        </w:rPr>
        <w:t xml:space="preserve"> (</w:t>
      </w:r>
      <w:r w:rsidR="00973530">
        <w:rPr>
          <w:rFonts w:ascii="Times New Roman" w:hAnsi="Times New Roman" w:cs="Times New Roman"/>
        </w:rPr>
        <w:t>pp. 523 – 529</w:t>
      </w:r>
      <w:r w:rsidR="002A2CCA" w:rsidRPr="00541F11">
        <w:rPr>
          <w:rFonts w:ascii="Times New Roman" w:hAnsi="Times New Roman" w:cs="Times New Roman"/>
        </w:rPr>
        <w:t>)</w:t>
      </w:r>
      <w:r w:rsidR="00396E17">
        <w:rPr>
          <w:rFonts w:ascii="Times New Roman" w:hAnsi="Times New Roman" w:cs="Times New Roman"/>
        </w:rPr>
        <w:t xml:space="preserve"> y que tiene su origen en la comedia griega</w:t>
      </w:r>
      <w:r w:rsidR="00973530">
        <w:rPr>
          <w:rFonts w:ascii="Times New Roman" w:hAnsi="Times New Roman" w:cs="Times New Roman"/>
        </w:rPr>
        <w:t>.</w:t>
      </w:r>
      <w:r w:rsidR="002A2CCA" w:rsidRPr="00541F11">
        <w:rPr>
          <w:rFonts w:ascii="Times New Roman" w:hAnsi="Times New Roman" w:cs="Times New Roman"/>
        </w:rPr>
        <w:t xml:space="preserve"> </w:t>
      </w:r>
    </w:p>
    <w:p w14:paraId="7FCA3B85" w14:textId="70961803" w:rsidR="00E20634" w:rsidRDefault="00396E17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efecto, </w:t>
      </w:r>
      <w:r w:rsidR="00685F45">
        <w:rPr>
          <w:rFonts w:ascii="Times New Roman" w:hAnsi="Times New Roman" w:cs="Times New Roman"/>
        </w:rPr>
        <w:t xml:space="preserve">Grecia fue un gran referente cultural para los romanos. El propio Cicerón defiende el uso del griego como lengua de cultura en el </w:t>
      </w:r>
      <w:r w:rsidR="00685F45" w:rsidRPr="00620F28">
        <w:rPr>
          <w:rFonts w:ascii="Times New Roman" w:hAnsi="Times New Roman" w:cs="Times New Roman"/>
          <w:i/>
        </w:rPr>
        <w:t>Pro Archia</w:t>
      </w:r>
      <w:r w:rsidR="00685F45">
        <w:rPr>
          <w:rFonts w:ascii="Times New Roman" w:hAnsi="Times New Roman" w:cs="Times New Roman"/>
        </w:rPr>
        <w:t xml:space="preserve">, aunque </w:t>
      </w:r>
      <w:r w:rsidR="00620F28" w:rsidRPr="00541F11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otras ocasiones reivindica </w:t>
      </w:r>
      <w:r w:rsidR="00427B13">
        <w:rPr>
          <w:rFonts w:ascii="Times New Roman" w:hAnsi="Times New Roman" w:cs="Times New Roman"/>
        </w:rPr>
        <w:t xml:space="preserve">el uso del </w:t>
      </w:r>
      <w:r w:rsidR="00620F28" w:rsidRPr="00541F11">
        <w:rPr>
          <w:rFonts w:ascii="Times New Roman" w:hAnsi="Times New Roman" w:cs="Times New Roman"/>
        </w:rPr>
        <w:t>latín</w:t>
      </w:r>
      <w:r w:rsidR="00467F23">
        <w:rPr>
          <w:rFonts w:ascii="Times New Roman" w:hAnsi="Times New Roman" w:cs="Times New Roman"/>
        </w:rPr>
        <w:t xml:space="preserve">, contradicción que analiza </w:t>
      </w:r>
      <w:r w:rsidR="00620F28" w:rsidRPr="00541F11">
        <w:rPr>
          <w:rFonts w:ascii="Times New Roman" w:hAnsi="Times New Roman" w:cs="Times New Roman"/>
        </w:rPr>
        <w:t xml:space="preserve">José Carlos Fernández </w:t>
      </w:r>
      <w:r w:rsidR="00620F28">
        <w:rPr>
          <w:rFonts w:ascii="Times New Roman" w:hAnsi="Times New Roman" w:cs="Times New Roman"/>
        </w:rPr>
        <w:t xml:space="preserve">en </w:t>
      </w:r>
      <w:r w:rsidR="002A2CCA" w:rsidRPr="00541F11">
        <w:rPr>
          <w:rFonts w:ascii="Times New Roman" w:hAnsi="Times New Roman" w:cs="Times New Roman"/>
        </w:rPr>
        <w:t xml:space="preserve">“¿La lengua (griega) compañera del Imperio? </w:t>
      </w:r>
      <w:bookmarkStart w:id="0" w:name="_GoBack"/>
      <w:r w:rsidR="002A2CCA" w:rsidRPr="00E14B75">
        <w:rPr>
          <w:rFonts w:ascii="Times New Roman" w:hAnsi="Times New Roman" w:cs="Times New Roman"/>
          <w:i/>
        </w:rPr>
        <w:t>Pro Archia</w:t>
      </w:r>
      <w:r w:rsidR="002A2CCA" w:rsidRPr="00541F11">
        <w:rPr>
          <w:rFonts w:ascii="Times New Roman" w:hAnsi="Times New Roman" w:cs="Times New Roman"/>
        </w:rPr>
        <w:t xml:space="preserve"> </w:t>
      </w:r>
      <w:bookmarkEnd w:id="0"/>
      <w:r w:rsidR="002A2CCA" w:rsidRPr="00541F11">
        <w:rPr>
          <w:rFonts w:ascii="Times New Roman" w:hAnsi="Times New Roman" w:cs="Times New Roman"/>
        </w:rPr>
        <w:t xml:space="preserve">23” </w:t>
      </w:r>
      <w:r w:rsidR="00685F45">
        <w:rPr>
          <w:rFonts w:ascii="Times New Roman" w:hAnsi="Times New Roman" w:cs="Times New Roman"/>
        </w:rPr>
        <w:t>(pp. 433 – 440</w:t>
      </w:r>
      <w:r w:rsidR="000C1442">
        <w:rPr>
          <w:rFonts w:ascii="Times New Roman" w:hAnsi="Times New Roman" w:cs="Times New Roman"/>
        </w:rPr>
        <w:t>)</w:t>
      </w:r>
      <w:r w:rsidR="006B515B">
        <w:rPr>
          <w:rFonts w:ascii="Times New Roman" w:hAnsi="Times New Roman" w:cs="Times New Roman"/>
        </w:rPr>
        <w:t>.</w:t>
      </w:r>
      <w:r w:rsidR="00EC5B46">
        <w:rPr>
          <w:rFonts w:ascii="Times New Roman" w:hAnsi="Times New Roman" w:cs="Times New Roman"/>
        </w:rPr>
        <w:t xml:space="preserve"> </w:t>
      </w:r>
      <w:r w:rsidR="00467F23">
        <w:rPr>
          <w:rFonts w:ascii="Times New Roman" w:hAnsi="Times New Roman" w:cs="Times New Roman"/>
        </w:rPr>
        <w:t>T</w:t>
      </w:r>
      <w:r w:rsidR="00446127">
        <w:rPr>
          <w:rFonts w:ascii="Times New Roman" w:hAnsi="Times New Roman" w:cs="Times New Roman"/>
        </w:rPr>
        <w:t xml:space="preserve">ambién </w:t>
      </w:r>
      <w:r w:rsidR="00AB0724">
        <w:rPr>
          <w:rFonts w:ascii="Times New Roman" w:hAnsi="Times New Roman" w:cs="Times New Roman"/>
        </w:rPr>
        <w:t>han bebido de fuentes</w:t>
      </w:r>
      <w:r w:rsidR="009B0A63">
        <w:rPr>
          <w:rFonts w:ascii="Times New Roman" w:hAnsi="Times New Roman" w:cs="Times New Roman"/>
        </w:rPr>
        <w:t xml:space="preserve"> helénicas</w:t>
      </w:r>
      <w:r w:rsidR="00446127">
        <w:rPr>
          <w:rFonts w:ascii="Times New Roman" w:hAnsi="Times New Roman" w:cs="Times New Roman"/>
        </w:rPr>
        <w:t xml:space="preserve"> otros grandes autores latinos, como Virgilio</w:t>
      </w:r>
      <w:r w:rsidR="00467F23">
        <w:rPr>
          <w:rFonts w:ascii="Times New Roman" w:hAnsi="Times New Roman" w:cs="Times New Roman"/>
        </w:rPr>
        <w:t>:</w:t>
      </w:r>
      <w:r w:rsidR="00AB0724">
        <w:rPr>
          <w:rFonts w:ascii="Times New Roman" w:hAnsi="Times New Roman" w:cs="Times New Roman"/>
        </w:rPr>
        <w:t xml:space="preserve"> </w:t>
      </w:r>
      <w:r w:rsidR="00ED742D" w:rsidRPr="00541F11">
        <w:rPr>
          <w:rFonts w:ascii="Times New Roman" w:hAnsi="Times New Roman" w:cs="Times New Roman"/>
        </w:rPr>
        <w:t xml:space="preserve">Dulce Estefanía Álvarez en “Más sobre Troilo” </w:t>
      </w:r>
      <w:r w:rsidR="00AB0724">
        <w:rPr>
          <w:rFonts w:ascii="Times New Roman" w:hAnsi="Times New Roman" w:cs="Times New Roman"/>
        </w:rPr>
        <w:t xml:space="preserve">(pp. </w:t>
      </w:r>
      <w:r w:rsidR="00AB0724" w:rsidRPr="00AB0724">
        <w:rPr>
          <w:rFonts w:ascii="Times New Roman" w:hAnsi="Times New Roman" w:cs="Times New Roman"/>
        </w:rPr>
        <w:t>425</w:t>
      </w:r>
      <w:r w:rsidR="00AB0724">
        <w:rPr>
          <w:rFonts w:ascii="Times New Roman" w:hAnsi="Times New Roman" w:cs="Times New Roman"/>
        </w:rPr>
        <w:t xml:space="preserve"> – </w:t>
      </w:r>
      <w:r w:rsidR="00AB0724" w:rsidRPr="00AB0724">
        <w:rPr>
          <w:rFonts w:ascii="Times New Roman" w:hAnsi="Times New Roman" w:cs="Times New Roman"/>
        </w:rPr>
        <w:t>432</w:t>
      </w:r>
      <w:r w:rsidR="00AB0724">
        <w:rPr>
          <w:rFonts w:ascii="Times New Roman" w:hAnsi="Times New Roman" w:cs="Times New Roman"/>
        </w:rPr>
        <w:t xml:space="preserve">) </w:t>
      </w:r>
      <w:r w:rsidR="00AD729E">
        <w:rPr>
          <w:rFonts w:ascii="Times New Roman" w:hAnsi="Times New Roman" w:cs="Times New Roman"/>
        </w:rPr>
        <w:t xml:space="preserve">ha reparado en </w:t>
      </w:r>
      <w:r w:rsidR="00ED742D" w:rsidRPr="00541F11">
        <w:rPr>
          <w:rFonts w:ascii="Times New Roman" w:hAnsi="Times New Roman" w:cs="Times New Roman"/>
        </w:rPr>
        <w:t xml:space="preserve">la influencia de la </w:t>
      </w:r>
      <w:r w:rsidR="00ED742D" w:rsidRPr="00541F11">
        <w:rPr>
          <w:rFonts w:ascii="Times New Roman" w:hAnsi="Times New Roman" w:cs="Times New Roman"/>
          <w:i/>
        </w:rPr>
        <w:t>Alexandra</w:t>
      </w:r>
      <w:r w:rsidR="00ED742D" w:rsidRPr="00541F11">
        <w:rPr>
          <w:rFonts w:ascii="Times New Roman" w:hAnsi="Times New Roman" w:cs="Times New Roman"/>
        </w:rPr>
        <w:t xml:space="preserve"> de Licofrón en la </w:t>
      </w:r>
      <w:r w:rsidR="00ED742D" w:rsidRPr="00AB0724">
        <w:rPr>
          <w:rFonts w:ascii="Times New Roman" w:hAnsi="Times New Roman" w:cs="Times New Roman"/>
          <w:i/>
        </w:rPr>
        <w:t>Eneida</w:t>
      </w:r>
      <w:r w:rsidR="003634A3">
        <w:rPr>
          <w:rFonts w:ascii="Times New Roman" w:hAnsi="Times New Roman" w:cs="Times New Roman"/>
        </w:rPr>
        <w:t>.</w:t>
      </w:r>
      <w:r w:rsidR="00C159FB">
        <w:rPr>
          <w:rFonts w:ascii="Times New Roman" w:hAnsi="Times New Roman" w:cs="Times New Roman"/>
        </w:rPr>
        <w:t xml:space="preserve"> </w:t>
      </w:r>
      <w:r w:rsidR="00427B13">
        <w:rPr>
          <w:rFonts w:ascii="Times New Roman" w:hAnsi="Times New Roman" w:cs="Times New Roman"/>
        </w:rPr>
        <w:t>L</w:t>
      </w:r>
      <w:r w:rsidR="004F3CDF">
        <w:rPr>
          <w:rFonts w:ascii="Times New Roman" w:hAnsi="Times New Roman" w:cs="Times New Roman"/>
        </w:rPr>
        <w:t>os modelos griegos</w:t>
      </w:r>
      <w:r w:rsidR="00C159FB">
        <w:rPr>
          <w:rFonts w:ascii="Times New Roman" w:hAnsi="Times New Roman" w:cs="Times New Roman"/>
        </w:rPr>
        <w:t xml:space="preserve"> ha</w:t>
      </w:r>
      <w:r w:rsidR="004F3CDF">
        <w:rPr>
          <w:rFonts w:ascii="Times New Roman" w:hAnsi="Times New Roman" w:cs="Times New Roman"/>
        </w:rPr>
        <w:t>n</w:t>
      </w:r>
      <w:r w:rsidR="00C159FB">
        <w:rPr>
          <w:rFonts w:ascii="Times New Roman" w:hAnsi="Times New Roman" w:cs="Times New Roman"/>
        </w:rPr>
        <w:t xml:space="preserve"> llegado</w:t>
      </w:r>
      <w:r w:rsidR="00427B13">
        <w:rPr>
          <w:rFonts w:ascii="Times New Roman" w:hAnsi="Times New Roman" w:cs="Times New Roman"/>
        </w:rPr>
        <w:t xml:space="preserve"> incluso</w:t>
      </w:r>
      <w:r w:rsidR="00C159FB">
        <w:rPr>
          <w:rFonts w:ascii="Times New Roman" w:hAnsi="Times New Roman" w:cs="Times New Roman"/>
        </w:rPr>
        <w:t xml:space="preserve"> hasta autores </w:t>
      </w:r>
      <w:r w:rsidR="00E96CEA">
        <w:rPr>
          <w:rFonts w:ascii="Times New Roman" w:hAnsi="Times New Roman" w:cs="Times New Roman"/>
        </w:rPr>
        <w:t>tardíos</w:t>
      </w:r>
      <w:r w:rsidR="004F3CDF">
        <w:rPr>
          <w:rFonts w:ascii="Times New Roman" w:hAnsi="Times New Roman" w:cs="Times New Roman"/>
        </w:rPr>
        <w:t xml:space="preserve">, como </w:t>
      </w:r>
      <w:r w:rsidR="00AD729E">
        <w:rPr>
          <w:rFonts w:ascii="Times New Roman" w:hAnsi="Times New Roman" w:cs="Times New Roman"/>
        </w:rPr>
        <w:t>observa</w:t>
      </w:r>
      <w:r w:rsidR="00C159FB">
        <w:rPr>
          <w:rFonts w:ascii="Times New Roman" w:hAnsi="Times New Roman" w:cs="Times New Roman"/>
        </w:rPr>
        <w:t xml:space="preserve"> </w:t>
      </w:r>
      <w:r w:rsidR="00C159FB" w:rsidRPr="00541F11">
        <w:rPr>
          <w:rFonts w:ascii="Times New Roman" w:hAnsi="Times New Roman" w:cs="Times New Roman"/>
        </w:rPr>
        <w:t xml:space="preserve">Juan Luis Arcaz </w:t>
      </w:r>
      <w:r w:rsidR="00D47594">
        <w:rPr>
          <w:rFonts w:ascii="Times New Roman" w:hAnsi="Times New Roman" w:cs="Times New Roman"/>
        </w:rPr>
        <w:t>en</w:t>
      </w:r>
      <w:r w:rsidR="00C159FB" w:rsidRPr="00541F11">
        <w:rPr>
          <w:rFonts w:ascii="Times New Roman" w:hAnsi="Times New Roman" w:cs="Times New Roman"/>
        </w:rPr>
        <w:t xml:space="preserve"> “Elementos epigramáticos en las elegías de Maximiano”</w:t>
      </w:r>
      <w:r w:rsidR="00D47594">
        <w:rPr>
          <w:rFonts w:ascii="Times New Roman" w:hAnsi="Times New Roman" w:cs="Times New Roman"/>
        </w:rPr>
        <w:t xml:space="preserve"> (pp. </w:t>
      </w:r>
      <w:r w:rsidR="00D47594" w:rsidRPr="00D47594">
        <w:rPr>
          <w:rFonts w:ascii="Times New Roman" w:hAnsi="Times New Roman" w:cs="Times New Roman"/>
        </w:rPr>
        <w:t>351</w:t>
      </w:r>
      <w:r w:rsidR="00D47594">
        <w:rPr>
          <w:rFonts w:ascii="Times New Roman" w:hAnsi="Times New Roman" w:cs="Times New Roman"/>
        </w:rPr>
        <w:t xml:space="preserve"> – </w:t>
      </w:r>
      <w:r w:rsidR="00D47594" w:rsidRPr="00D47594">
        <w:rPr>
          <w:rFonts w:ascii="Times New Roman" w:hAnsi="Times New Roman" w:cs="Times New Roman"/>
        </w:rPr>
        <w:t>358</w:t>
      </w:r>
      <w:r w:rsidR="00E96CEA">
        <w:rPr>
          <w:rFonts w:ascii="Times New Roman" w:hAnsi="Times New Roman" w:cs="Times New Roman"/>
        </w:rPr>
        <w:t>)</w:t>
      </w:r>
      <w:r w:rsidR="006B515B">
        <w:rPr>
          <w:rFonts w:ascii="Times New Roman" w:hAnsi="Times New Roman" w:cs="Times New Roman"/>
        </w:rPr>
        <w:t>.</w:t>
      </w:r>
    </w:p>
    <w:p w14:paraId="77778760" w14:textId="5FC5B192" w:rsidR="00F16D4F" w:rsidRDefault="00467F23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Otra</w:t>
      </w:r>
      <w:r w:rsidR="006F2DF2" w:rsidRPr="00632144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>rte de las comunicaciones versa</w:t>
      </w:r>
      <w:r w:rsidR="006F2DF2" w:rsidRPr="00632144">
        <w:rPr>
          <w:rFonts w:ascii="Times New Roman" w:hAnsi="Times New Roman" w:cs="Times New Roman"/>
        </w:rPr>
        <w:t xml:space="preserve"> sobre</w:t>
      </w:r>
      <w:r w:rsidR="003F0799" w:rsidRPr="00632144">
        <w:rPr>
          <w:rFonts w:ascii="Times New Roman" w:hAnsi="Times New Roman" w:cs="Times New Roman"/>
        </w:rPr>
        <w:t xml:space="preserve"> la </w:t>
      </w:r>
      <w:r w:rsidR="00C159FB" w:rsidRPr="00632144">
        <w:rPr>
          <w:rFonts w:ascii="Times New Roman" w:hAnsi="Times New Roman" w:cs="Times New Roman"/>
        </w:rPr>
        <w:t xml:space="preserve">interpretación de pasajes </w:t>
      </w:r>
      <w:r w:rsidR="00F16D4F">
        <w:rPr>
          <w:rFonts w:ascii="Times New Roman" w:hAnsi="Times New Roman" w:cs="Times New Roman"/>
        </w:rPr>
        <w:t>literarios</w:t>
      </w:r>
      <w:r w:rsidR="00C159FB" w:rsidRPr="00632144">
        <w:rPr>
          <w:rFonts w:ascii="Times New Roman" w:hAnsi="Times New Roman" w:cs="Times New Roman"/>
        </w:rPr>
        <w:t xml:space="preserve">. </w:t>
      </w:r>
      <w:r w:rsidR="008A7C2A" w:rsidRPr="00632144">
        <w:rPr>
          <w:rFonts w:ascii="Times New Roman" w:hAnsi="Times New Roman" w:cs="Times New Roman"/>
        </w:rPr>
        <w:t xml:space="preserve">Vicente Cristóbal </w:t>
      </w:r>
      <w:r w:rsidR="00ED742D" w:rsidRPr="00632144">
        <w:rPr>
          <w:rFonts w:ascii="Times New Roman" w:hAnsi="Times New Roman" w:cs="Times New Roman"/>
        </w:rPr>
        <w:t>en “La muerte de Príamo en Virgilio”</w:t>
      </w:r>
      <w:r w:rsidR="009E5C6D" w:rsidRPr="00632144">
        <w:rPr>
          <w:rFonts w:ascii="Times New Roman" w:hAnsi="Times New Roman" w:cs="Times New Roman"/>
        </w:rPr>
        <w:t xml:space="preserve"> (pp. 407 –</w:t>
      </w:r>
      <w:r w:rsidR="009E5C6D">
        <w:rPr>
          <w:rFonts w:ascii="Times New Roman" w:hAnsi="Times New Roman" w:cs="Times New Roman"/>
        </w:rPr>
        <w:t xml:space="preserve"> </w:t>
      </w:r>
      <w:r w:rsidR="009E5C6D" w:rsidRPr="009E5C6D">
        <w:rPr>
          <w:rFonts w:ascii="Times New Roman" w:hAnsi="Times New Roman" w:cs="Times New Roman"/>
        </w:rPr>
        <w:t>416</w:t>
      </w:r>
      <w:r w:rsidR="009E5C6D">
        <w:rPr>
          <w:rFonts w:ascii="Times New Roman" w:hAnsi="Times New Roman" w:cs="Times New Roman"/>
        </w:rPr>
        <w:t>)</w:t>
      </w:r>
      <w:r w:rsidR="00ED742D" w:rsidRPr="00541F11">
        <w:rPr>
          <w:rFonts w:ascii="Times New Roman" w:hAnsi="Times New Roman" w:cs="Times New Roman"/>
        </w:rPr>
        <w:t xml:space="preserve"> analiza </w:t>
      </w:r>
      <w:r w:rsidR="009B0A63">
        <w:rPr>
          <w:rFonts w:ascii="Times New Roman" w:hAnsi="Times New Roman" w:cs="Times New Roman"/>
        </w:rPr>
        <w:t>ese</w:t>
      </w:r>
      <w:r w:rsidR="00ED742D" w:rsidRPr="00541F11">
        <w:rPr>
          <w:rFonts w:ascii="Times New Roman" w:hAnsi="Times New Roman" w:cs="Times New Roman"/>
        </w:rPr>
        <w:t xml:space="preserve"> pasaje de la </w:t>
      </w:r>
      <w:r w:rsidR="00ED742D" w:rsidRPr="00541F11">
        <w:rPr>
          <w:rFonts w:ascii="Times New Roman" w:hAnsi="Times New Roman" w:cs="Times New Roman"/>
          <w:i/>
        </w:rPr>
        <w:t>Eneida</w:t>
      </w:r>
      <w:r w:rsidR="000C1442">
        <w:rPr>
          <w:rFonts w:ascii="Times New Roman" w:hAnsi="Times New Roman" w:cs="Times New Roman"/>
        </w:rPr>
        <w:t xml:space="preserve"> </w:t>
      </w:r>
      <w:r w:rsidR="009B0A63">
        <w:rPr>
          <w:rFonts w:ascii="Times New Roman" w:hAnsi="Times New Roman" w:cs="Times New Roman"/>
        </w:rPr>
        <w:t>y</w:t>
      </w:r>
      <w:r w:rsidR="001F6349">
        <w:rPr>
          <w:rFonts w:ascii="Times New Roman" w:hAnsi="Times New Roman" w:cs="Times New Roman"/>
        </w:rPr>
        <w:t xml:space="preserve"> propone </w:t>
      </w:r>
      <w:r w:rsidR="006B515B">
        <w:rPr>
          <w:rFonts w:ascii="Times New Roman" w:hAnsi="Times New Roman" w:cs="Times New Roman"/>
        </w:rPr>
        <w:t>entender</w:t>
      </w:r>
      <w:r w:rsidR="009B0A63">
        <w:rPr>
          <w:rFonts w:ascii="Times New Roman" w:hAnsi="Times New Roman" w:cs="Times New Roman"/>
        </w:rPr>
        <w:t>lo</w:t>
      </w:r>
      <w:r w:rsidR="00ED742D" w:rsidRPr="00541F11">
        <w:rPr>
          <w:rFonts w:ascii="Times New Roman" w:hAnsi="Times New Roman" w:cs="Times New Roman"/>
        </w:rPr>
        <w:t xml:space="preserve"> </w:t>
      </w:r>
      <w:r w:rsidR="00E96CEA">
        <w:rPr>
          <w:rFonts w:ascii="Times New Roman" w:hAnsi="Times New Roman" w:cs="Times New Roman"/>
        </w:rPr>
        <w:t>de manera metafórica</w:t>
      </w:r>
      <w:r w:rsidR="00ED742D" w:rsidRPr="00541F11">
        <w:rPr>
          <w:rFonts w:ascii="Times New Roman" w:hAnsi="Times New Roman" w:cs="Times New Roman"/>
        </w:rPr>
        <w:t>.</w:t>
      </w:r>
      <w:r w:rsidR="00F1625F">
        <w:rPr>
          <w:rFonts w:ascii="Times New Roman" w:hAnsi="Times New Roman" w:cs="Times New Roman"/>
        </w:rPr>
        <w:t xml:space="preserve"> </w:t>
      </w:r>
      <w:r w:rsidR="007B69C3">
        <w:rPr>
          <w:rFonts w:ascii="Times New Roman" w:hAnsi="Times New Roman" w:cs="Times New Roman"/>
        </w:rPr>
        <w:t xml:space="preserve">También </w:t>
      </w:r>
      <w:r w:rsidR="00844A97">
        <w:rPr>
          <w:rFonts w:ascii="Times New Roman" w:hAnsi="Times New Roman" w:cs="Times New Roman"/>
        </w:rPr>
        <w:t xml:space="preserve">resulta problemático explicar </w:t>
      </w:r>
      <w:r w:rsidR="00F87807">
        <w:rPr>
          <w:rFonts w:ascii="Times New Roman" w:hAnsi="Times New Roman" w:cs="Times New Roman"/>
        </w:rPr>
        <w:t>el</w:t>
      </w:r>
      <w:r w:rsidR="007B2D0A">
        <w:rPr>
          <w:rFonts w:ascii="Times New Roman" w:hAnsi="Times New Roman" w:cs="Times New Roman"/>
        </w:rPr>
        <w:t xml:space="preserve"> escaso</w:t>
      </w:r>
      <w:r w:rsidR="00F87807">
        <w:rPr>
          <w:rFonts w:ascii="Times New Roman" w:hAnsi="Times New Roman" w:cs="Times New Roman"/>
        </w:rPr>
        <w:t xml:space="preserve"> </w:t>
      </w:r>
      <w:r w:rsidR="00F87807" w:rsidRPr="00D9348E">
        <w:rPr>
          <w:rFonts w:ascii="Times New Roman" w:hAnsi="Times New Roman" w:cs="Times New Roman"/>
        </w:rPr>
        <w:t>componente mitológico en la obra de Marcia</w:t>
      </w:r>
      <w:r w:rsidR="00F87807">
        <w:rPr>
          <w:rFonts w:ascii="Times New Roman" w:hAnsi="Times New Roman" w:cs="Times New Roman"/>
        </w:rPr>
        <w:t>l</w:t>
      </w:r>
      <w:r w:rsidR="00F87807" w:rsidRPr="00D9348E">
        <w:rPr>
          <w:rFonts w:ascii="Times New Roman" w:hAnsi="Times New Roman" w:cs="Times New Roman"/>
        </w:rPr>
        <w:t>, como apunta Rosario Moreno en “Personajes mitológicos en la poesía temprana de Marcial: una lectura del Libro de los</w:t>
      </w:r>
      <w:r w:rsidR="00427B13">
        <w:rPr>
          <w:rFonts w:ascii="Times New Roman" w:hAnsi="Times New Roman" w:cs="Times New Roman"/>
        </w:rPr>
        <w:t xml:space="preserve"> espectáculos” (pp. 505 – 514),</w:t>
      </w:r>
      <w:r w:rsidR="00F87807">
        <w:rPr>
          <w:rFonts w:ascii="Times New Roman" w:hAnsi="Times New Roman" w:cs="Times New Roman"/>
        </w:rPr>
        <w:t xml:space="preserve"> o</w:t>
      </w:r>
      <w:r w:rsidR="007B69C3">
        <w:rPr>
          <w:rFonts w:ascii="Times New Roman" w:hAnsi="Times New Roman" w:cs="Times New Roman"/>
        </w:rPr>
        <w:t xml:space="preserve"> </w:t>
      </w:r>
      <w:r w:rsidR="00844A97">
        <w:rPr>
          <w:rFonts w:ascii="Times New Roman" w:hAnsi="Times New Roman" w:cs="Times New Roman"/>
        </w:rPr>
        <w:t>entender ciert</w:t>
      </w:r>
      <w:r w:rsidR="007B69C3">
        <w:rPr>
          <w:rFonts w:ascii="Times New Roman" w:hAnsi="Times New Roman" w:cs="Times New Roman"/>
        </w:rPr>
        <w:t>os poemas de</w:t>
      </w:r>
      <w:r w:rsidR="006F2DF2">
        <w:rPr>
          <w:rFonts w:ascii="Times New Roman" w:hAnsi="Times New Roman" w:cs="Times New Roman"/>
        </w:rPr>
        <w:t xml:space="preserve"> </w:t>
      </w:r>
      <w:r w:rsidR="007B69C3">
        <w:rPr>
          <w:rFonts w:ascii="Times New Roman" w:hAnsi="Times New Roman" w:cs="Times New Roman"/>
        </w:rPr>
        <w:t>l</w:t>
      </w:r>
      <w:r w:rsidR="006F2DF2">
        <w:rPr>
          <w:rFonts w:ascii="Times New Roman" w:hAnsi="Times New Roman" w:cs="Times New Roman"/>
        </w:rPr>
        <w:t>a</w:t>
      </w:r>
      <w:r w:rsidR="007B69C3">
        <w:rPr>
          <w:rFonts w:ascii="Times New Roman" w:hAnsi="Times New Roman" w:cs="Times New Roman"/>
        </w:rPr>
        <w:t xml:space="preserve"> </w:t>
      </w:r>
      <w:r w:rsidR="007B69C3" w:rsidRPr="007B69C3">
        <w:rPr>
          <w:rFonts w:ascii="Times New Roman" w:hAnsi="Times New Roman" w:cs="Times New Roman"/>
          <w:i/>
        </w:rPr>
        <w:t>Appendix Vergiliana</w:t>
      </w:r>
      <w:r w:rsidR="007B69C3">
        <w:rPr>
          <w:rFonts w:ascii="Times New Roman" w:hAnsi="Times New Roman" w:cs="Times New Roman"/>
        </w:rPr>
        <w:t xml:space="preserve"> </w:t>
      </w:r>
      <w:r w:rsidR="003F0799">
        <w:rPr>
          <w:rFonts w:ascii="Times New Roman" w:hAnsi="Times New Roman" w:cs="Times New Roman"/>
        </w:rPr>
        <w:t>que</w:t>
      </w:r>
      <w:r w:rsidR="00E96CEA">
        <w:rPr>
          <w:rFonts w:ascii="Times New Roman" w:hAnsi="Times New Roman" w:cs="Times New Roman"/>
        </w:rPr>
        <w:t>, según</w:t>
      </w:r>
      <w:r w:rsidR="003F0799">
        <w:rPr>
          <w:rFonts w:ascii="Times New Roman" w:hAnsi="Times New Roman" w:cs="Times New Roman"/>
        </w:rPr>
        <w:t xml:space="preserve"> </w:t>
      </w:r>
      <w:r w:rsidR="00196D2D">
        <w:rPr>
          <w:rFonts w:ascii="Times New Roman" w:hAnsi="Times New Roman" w:cs="Times New Roman"/>
        </w:rPr>
        <w:t xml:space="preserve">Miguel Rodríguez-Pantoja </w:t>
      </w:r>
      <w:r w:rsidR="007B69C3">
        <w:rPr>
          <w:rFonts w:ascii="Times New Roman" w:hAnsi="Times New Roman" w:cs="Times New Roman"/>
        </w:rPr>
        <w:t xml:space="preserve">en </w:t>
      </w:r>
      <w:r w:rsidR="00196D2D">
        <w:rPr>
          <w:rFonts w:ascii="Times New Roman" w:hAnsi="Times New Roman" w:cs="Times New Roman"/>
        </w:rPr>
        <w:t>“</w:t>
      </w:r>
      <w:r w:rsidR="00ED742D" w:rsidRPr="00541F11">
        <w:rPr>
          <w:rFonts w:ascii="Times New Roman" w:hAnsi="Times New Roman" w:cs="Times New Roman"/>
        </w:rPr>
        <w:t xml:space="preserve">Los poemas del ‘catuliano apasionado’: </w:t>
      </w:r>
      <w:r w:rsidR="00ED742D" w:rsidRPr="007B69C3">
        <w:rPr>
          <w:rFonts w:ascii="Times New Roman" w:hAnsi="Times New Roman" w:cs="Times New Roman"/>
          <w:i/>
        </w:rPr>
        <w:t>Catalepton</w:t>
      </w:r>
      <w:r w:rsidR="00ED742D" w:rsidRPr="00541F11">
        <w:rPr>
          <w:rFonts w:ascii="Times New Roman" w:hAnsi="Times New Roman" w:cs="Times New Roman"/>
        </w:rPr>
        <w:t xml:space="preserve"> 1, 6 y 12</w:t>
      </w:r>
      <w:r w:rsidR="00196D2D">
        <w:rPr>
          <w:rFonts w:ascii="Times New Roman" w:hAnsi="Times New Roman" w:cs="Times New Roman"/>
        </w:rPr>
        <w:t>”</w:t>
      </w:r>
      <w:r w:rsidR="00ED742D" w:rsidRPr="00541F11">
        <w:rPr>
          <w:rFonts w:ascii="Times New Roman" w:hAnsi="Times New Roman" w:cs="Times New Roman"/>
        </w:rPr>
        <w:t xml:space="preserve"> (</w:t>
      </w:r>
      <w:r w:rsidR="007B69C3">
        <w:rPr>
          <w:rFonts w:ascii="Times New Roman" w:hAnsi="Times New Roman" w:cs="Times New Roman"/>
        </w:rPr>
        <w:t xml:space="preserve">pp. </w:t>
      </w:r>
      <w:r w:rsidR="00196D2D" w:rsidRPr="00196D2D">
        <w:rPr>
          <w:rFonts w:ascii="Times New Roman" w:hAnsi="Times New Roman" w:cs="Times New Roman"/>
        </w:rPr>
        <w:t>531</w:t>
      </w:r>
      <w:r w:rsidR="00196D2D">
        <w:rPr>
          <w:rFonts w:ascii="Times New Roman" w:hAnsi="Times New Roman" w:cs="Times New Roman"/>
        </w:rPr>
        <w:t xml:space="preserve"> – </w:t>
      </w:r>
      <w:r w:rsidR="00196D2D" w:rsidRPr="00196D2D">
        <w:rPr>
          <w:rFonts w:ascii="Times New Roman" w:hAnsi="Times New Roman" w:cs="Times New Roman"/>
        </w:rPr>
        <w:t>538</w:t>
      </w:r>
      <w:r w:rsidR="0044568D">
        <w:rPr>
          <w:rFonts w:ascii="Times New Roman" w:hAnsi="Times New Roman" w:cs="Times New Roman"/>
        </w:rPr>
        <w:t>)</w:t>
      </w:r>
      <w:r w:rsidR="00E72D83">
        <w:rPr>
          <w:rFonts w:ascii="Times New Roman" w:hAnsi="Times New Roman" w:cs="Times New Roman"/>
        </w:rPr>
        <w:t>, cobr</w:t>
      </w:r>
      <w:r>
        <w:rPr>
          <w:rFonts w:ascii="Times New Roman" w:hAnsi="Times New Roman" w:cs="Times New Roman"/>
        </w:rPr>
        <w:t xml:space="preserve">an mayor </w:t>
      </w:r>
      <w:r w:rsidR="00E96CEA">
        <w:rPr>
          <w:rFonts w:ascii="Times New Roman" w:hAnsi="Times New Roman" w:cs="Times New Roman"/>
        </w:rPr>
        <w:t>sentido si se relacionan entre sí</w:t>
      </w:r>
      <w:r w:rsidR="00F87807">
        <w:rPr>
          <w:rFonts w:ascii="Times New Roman" w:hAnsi="Times New Roman" w:cs="Times New Roman"/>
        </w:rPr>
        <w:t>.</w:t>
      </w:r>
    </w:p>
    <w:p w14:paraId="50E96AAB" w14:textId="6D11AFEC" w:rsidR="00D47594" w:rsidRDefault="00563880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Algun</w:t>
      </w:r>
      <w:r w:rsidR="00A463E3">
        <w:rPr>
          <w:rFonts w:ascii="Times New Roman" w:hAnsi="Times New Roman" w:cs="Times New Roman"/>
        </w:rPr>
        <w:t xml:space="preserve">os de </w:t>
      </w:r>
      <w:r w:rsidR="007B2D0A">
        <w:rPr>
          <w:rFonts w:ascii="Times New Roman" w:hAnsi="Times New Roman" w:cs="Times New Roman"/>
        </w:rPr>
        <w:t>est</w:t>
      </w:r>
      <w:r w:rsidR="00623F0E">
        <w:rPr>
          <w:rFonts w:ascii="Times New Roman" w:hAnsi="Times New Roman" w:cs="Times New Roman"/>
        </w:rPr>
        <w:t>os estudios literarios se basan</w:t>
      </w:r>
      <w:r w:rsidR="00F7071C">
        <w:rPr>
          <w:rFonts w:ascii="Times New Roman" w:hAnsi="Times New Roman" w:cs="Times New Roman"/>
        </w:rPr>
        <w:t xml:space="preserve"> </w:t>
      </w:r>
      <w:r w:rsidR="007D0A01">
        <w:rPr>
          <w:rFonts w:ascii="Times New Roman" w:hAnsi="Times New Roman" w:cs="Times New Roman"/>
        </w:rPr>
        <w:t>en la aplicación de modelos de análisis, como la perspectiva funcionalista adoptada p</w:t>
      </w:r>
      <w:r w:rsidR="001F6349">
        <w:rPr>
          <w:rFonts w:ascii="Times New Roman" w:hAnsi="Times New Roman" w:cs="Times New Roman"/>
        </w:rPr>
        <w:t xml:space="preserve">or </w:t>
      </w:r>
      <w:r w:rsidR="003D7B13" w:rsidRPr="00541F11">
        <w:rPr>
          <w:rFonts w:ascii="Times New Roman" w:hAnsi="Times New Roman" w:cs="Times New Roman"/>
        </w:rPr>
        <w:t xml:space="preserve">José Manuel Blanco </w:t>
      </w:r>
      <w:r w:rsidR="007D0A01">
        <w:rPr>
          <w:rFonts w:ascii="Times New Roman" w:hAnsi="Times New Roman" w:cs="Times New Roman"/>
        </w:rPr>
        <w:t>e</w:t>
      </w:r>
      <w:r w:rsidR="007D0A01" w:rsidRPr="00541F11">
        <w:rPr>
          <w:rFonts w:ascii="Times New Roman" w:hAnsi="Times New Roman" w:cs="Times New Roman"/>
        </w:rPr>
        <w:t>n “La manipulación intertextual de motivos elegíacos en el episodio de Apolo y Dafne (</w:t>
      </w:r>
      <w:r w:rsidR="007D0A01" w:rsidRPr="00541F11">
        <w:rPr>
          <w:rFonts w:ascii="Times New Roman" w:hAnsi="Times New Roman" w:cs="Times New Roman"/>
          <w:i/>
        </w:rPr>
        <w:t>Metamorfosis</w:t>
      </w:r>
      <w:r w:rsidR="007D0A01" w:rsidRPr="00541F11">
        <w:rPr>
          <w:rFonts w:ascii="Times New Roman" w:hAnsi="Times New Roman" w:cs="Times New Roman"/>
        </w:rPr>
        <w:t xml:space="preserve"> 1.452-567)” </w:t>
      </w:r>
      <w:r w:rsidR="007D0A01">
        <w:rPr>
          <w:rFonts w:ascii="Times New Roman" w:hAnsi="Times New Roman" w:cs="Times New Roman"/>
        </w:rPr>
        <w:lastRenderedPageBreak/>
        <w:t xml:space="preserve">(pp. </w:t>
      </w:r>
      <w:r w:rsidR="007D0A01" w:rsidRPr="007B69C3">
        <w:rPr>
          <w:rFonts w:ascii="Times New Roman" w:hAnsi="Times New Roman" w:cs="Times New Roman"/>
        </w:rPr>
        <w:t>391</w:t>
      </w:r>
      <w:r w:rsidR="007D0A01">
        <w:rPr>
          <w:rFonts w:ascii="Times New Roman" w:hAnsi="Times New Roman" w:cs="Times New Roman"/>
        </w:rPr>
        <w:t xml:space="preserve"> – </w:t>
      </w:r>
      <w:r w:rsidR="007D0A01" w:rsidRPr="007B69C3">
        <w:rPr>
          <w:rFonts w:ascii="Times New Roman" w:hAnsi="Times New Roman" w:cs="Times New Roman"/>
        </w:rPr>
        <w:t>398</w:t>
      </w:r>
      <w:r w:rsidR="00F16D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7D0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7D0A01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 xml:space="preserve">as </w:t>
      </w:r>
      <w:r w:rsidR="001F6349">
        <w:rPr>
          <w:rFonts w:ascii="Times New Roman" w:hAnsi="Times New Roman" w:cs="Times New Roman"/>
        </w:rPr>
        <w:t xml:space="preserve">en criterios estilísticos, como </w:t>
      </w:r>
      <w:r w:rsidR="00F87807">
        <w:rPr>
          <w:rFonts w:ascii="Times New Roman" w:hAnsi="Times New Roman" w:cs="Times New Roman"/>
        </w:rPr>
        <w:t>“La Autoría del Diá</w:t>
      </w:r>
      <w:r w:rsidR="00F87807" w:rsidRPr="00541F11">
        <w:rPr>
          <w:rFonts w:ascii="Times New Roman" w:hAnsi="Times New Roman" w:cs="Times New Roman"/>
        </w:rPr>
        <w:t xml:space="preserve">logo </w:t>
      </w:r>
      <w:r w:rsidR="00F87807" w:rsidRPr="00F7669F">
        <w:rPr>
          <w:rFonts w:ascii="Times New Roman" w:hAnsi="Times New Roman" w:cs="Times New Roman"/>
          <w:i/>
        </w:rPr>
        <w:t>De Oratoribus</w:t>
      </w:r>
      <w:r w:rsidR="00F87807" w:rsidRPr="00541F11">
        <w:rPr>
          <w:rFonts w:ascii="Times New Roman" w:hAnsi="Times New Roman" w:cs="Times New Roman"/>
        </w:rPr>
        <w:t>: Los Argumentos Estilísticos”</w:t>
      </w:r>
      <w:r w:rsidR="00F87807">
        <w:rPr>
          <w:rFonts w:ascii="Times New Roman" w:hAnsi="Times New Roman" w:cs="Times New Roman"/>
        </w:rPr>
        <w:t xml:space="preserve"> de </w:t>
      </w:r>
      <w:r w:rsidR="00F87807" w:rsidRPr="00541F11">
        <w:rPr>
          <w:rFonts w:ascii="Times New Roman" w:hAnsi="Times New Roman" w:cs="Times New Roman"/>
        </w:rPr>
        <w:t>Xaverio B</w:t>
      </w:r>
      <w:r w:rsidR="00F87807">
        <w:rPr>
          <w:rFonts w:ascii="Times New Roman" w:hAnsi="Times New Roman" w:cs="Times New Roman"/>
        </w:rPr>
        <w:t>allester</w:t>
      </w:r>
      <w:r w:rsidR="00F87807" w:rsidRPr="00541F11">
        <w:rPr>
          <w:rFonts w:ascii="Times New Roman" w:hAnsi="Times New Roman" w:cs="Times New Roman"/>
        </w:rPr>
        <w:t xml:space="preserve"> </w:t>
      </w:r>
      <w:r w:rsidR="00F87807">
        <w:rPr>
          <w:rFonts w:ascii="Times New Roman" w:hAnsi="Times New Roman" w:cs="Times New Roman"/>
        </w:rPr>
        <w:t>(pp. 367</w:t>
      </w:r>
      <w:r w:rsidR="00F87807" w:rsidRPr="00E366A7">
        <w:rPr>
          <w:rFonts w:ascii="Times New Roman" w:hAnsi="Times New Roman" w:cs="Times New Roman"/>
        </w:rPr>
        <w:t xml:space="preserve"> – </w:t>
      </w:r>
      <w:r w:rsidR="00F87807" w:rsidRPr="001F6349">
        <w:rPr>
          <w:rFonts w:ascii="Times New Roman" w:hAnsi="Times New Roman" w:cs="Times New Roman"/>
        </w:rPr>
        <w:t>374</w:t>
      </w:r>
      <w:r w:rsidR="00F87807">
        <w:rPr>
          <w:rFonts w:ascii="Times New Roman" w:hAnsi="Times New Roman" w:cs="Times New Roman"/>
        </w:rPr>
        <w:t>)</w:t>
      </w:r>
      <w:r w:rsidR="00F87807" w:rsidRPr="00E366A7">
        <w:rPr>
          <w:rFonts w:ascii="Times New Roman" w:hAnsi="Times New Roman" w:cs="Times New Roman"/>
        </w:rPr>
        <w:t xml:space="preserve"> </w:t>
      </w:r>
      <w:r w:rsidR="00F87807">
        <w:rPr>
          <w:rFonts w:ascii="Times New Roman" w:hAnsi="Times New Roman" w:cs="Times New Roman"/>
        </w:rPr>
        <w:t xml:space="preserve">u </w:t>
      </w:r>
      <w:r w:rsidR="001F6349" w:rsidRPr="00E366A7">
        <w:rPr>
          <w:rFonts w:ascii="Times New Roman" w:hAnsi="Times New Roman" w:cs="Times New Roman"/>
        </w:rPr>
        <w:t xml:space="preserve">“Horacio en Horacio” (pp. 473 – 480) </w:t>
      </w:r>
      <w:r w:rsidR="001F6349">
        <w:rPr>
          <w:rFonts w:ascii="Times New Roman" w:hAnsi="Times New Roman" w:cs="Times New Roman"/>
        </w:rPr>
        <w:t>de</w:t>
      </w:r>
      <w:r w:rsidR="001F6349" w:rsidRPr="00541F11">
        <w:rPr>
          <w:rFonts w:ascii="Times New Roman" w:hAnsi="Times New Roman" w:cs="Times New Roman"/>
        </w:rPr>
        <w:t xml:space="preserve"> </w:t>
      </w:r>
      <w:r w:rsidR="008A7C2A" w:rsidRPr="00E366A7">
        <w:rPr>
          <w:rFonts w:ascii="Times New Roman" w:hAnsi="Times New Roman" w:cs="Times New Roman"/>
        </w:rPr>
        <w:t>Gregorio Hinoj</w:t>
      </w:r>
      <w:r w:rsidR="00F8780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 y otras en</w:t>
      </w:r>
      <w:r w:rsidR="00F16D4F">
        <w:rPr>
          <w:rFonts w:ascii="Times New Roman" w:hAnsi="Times New Roman" w:cs="Times New Roman"/>
        </w:rPr>
        <w:t xml:space="preserve"> </w:t>
      </w:r>
      <w:r w:rsidR="000801C2">
        <w:rPr>
          <w:rFonts w:ascii="Times New Roman" w:hAnsi="Times New Roman" w:cs="Times New Roman"/>
        </w:rPr>
        <w:t xml:space="preserve">el estudio de los rasgos lingüísticos, como </w:t>
      </w:r>
      <w:r w:rsidR="000801C2" w:rsidRPr="00541F11">
        <w:rPr>
          <w:rFonts w:ascii="Times New Roman" w:hAnsi="Times New Roman" w:cs="Times New Roman"/>
        </w:rPr>
        <w:t>“El uso del participio de futuro en -</w:t>
      </w:r>
      <w:r w:rsidR="000801C2" w:rsidRPr="00541F11">
        <w:rPr>
          <w:rFonts w:ascii="Times New Roman" w:hAnsi="Times New Roman" w:cs="Times New Roman"/>
          <w:i/>
        </w:rPr>
        <w:t>urus</w:t>
      </w:r>
      <w:r w:rsidR="000801C2" w:rsidRPr="00541F11">
        <w:rPr>
          <w:rFonts w:ascii="Times New Roman" w:hAnsi="Times New Roman" w:cs="Times New Roman"/>
        </w:rPr>
        <w:t xml:space="preserve"> y el adverbio </w:t>
      </w:r>
      <w:r w:rsidR="000801C2" w:rsidRPr="00541F11">
        <w:rPr>
          <w:rFonts w:ascii="Times New Roman" w:hAnsi="Times New Roman" w:cs="Times New Roman"/>
          <w:i/>
        </w:rPr>
        <w:t>nondum</w:t>
      </w:r>
      <w:r w:rsidR="000801C2" w:rsidRPr="00541F11">
        <w:rPr>
          <w:rFonts w:ascii="Times New Roman" w:hAnsi="Times New Roman" w:cs="Times New Roman"/>
        </w:rPr>
        <w:t xml:space="preserve"> en las </w:t>
      </w:r>
      <w:r w:rsidR="000801C2" w:rsidRPr="00541F11">
        <w:rPr>
          <w:rFonts w:ascii="Times New Roman" w:hAnsi="Times New Roman" w:cs="Times New Roman"/>
          <w:i/>
        </w:rPr>
        <w:t>Metamorfosis</w:t>
      </w:r>
      <w:r w:rsidR="000801C2" w:rsidRPr="00541F11">
        <w:rPr>
          <w:rFonts w:ascii="Times New Roman" w:hAnsi="Times New Roman" w:cs="Times New Roman"/>
        </w:rPr>
        <w:t xml:space="preserve"> de Ovidio”</w:t>
      </w:r>
      <w:r w:rsidR="000801C2">
        <w:rPr>
          <w:rFonts w:ascii="Times New Roman" w:hAnsi="Times New Roman" w:cs="Times New Roman"/>
        </w:rPr>
        <w:t xml:space="preserve"> de </w:t>
      </w:r>
      <w:r w:rsidR="00D47594" w:rsidRPr="00541F11">
        <w:rPr>
          <w:rFonts w:ascii="Times New Roman" w:hAnsi="Times New Roman" w:cs="Times New Roman"/>
        </w:rPr>
        <w:t xml:space="preserve">Sandra Camacho </w:t>
      </w:r>
      <w:r w:rsidR="00D47594">
        <w:rPr>
          <w:rFonts w:ascii="Times New Roman" w:hAnsi="Times New Roman" w:cs="Times New Roman"/>
        </w:rPr>
        <w:t>(pp. 3</w:t>
      </w:r>
      <w:r w:rsidR="00D47594" w:rsidRPr="003D7B13">
        <w:rPr>
          <w:rFonts w:ascii="Times New Roman" w:hAnsi="Times New Roman" w:cs="Times New Roman"/>
        </w:rPr>
        <w:t>99</w:t>
      </w:r>
      <w:r w:rsidR="00D47594">
        <w:rPr>
          <w:rFonts w:ascii="Times New Roman" w:hAnsi="Times New Roman" w:cs="Times New Roman"/>
        </w:rPr>
        <w:t xml:space="preserve"> – </w:t>
      </w:r>
      <w:r w:rsidR="00D47594" w:rsidRPr="003D7B13">
        <w:rPr>
          <w:rFonts w:ascii="Times New Roman" w:hAnsi="Times New Roman" w:cs="Times New Roman"/>
        </w:rPr>
        <w:t>406</w:t>
      </w:r>
      <w:r w:rsidR="00D47594">
        <w:rPr>
          <w:rFonts w:ascii="Times New Roman" w:hAnsi="Times New Roman" w:cs="Times New Roman"/>
        </w:rPr>
        <w:t>)</w:t>
      </w:r>
      <w:r w:rsidR="007D0A01">
        <w:rPr>
          <w:rFonts w:ascii="Times New Roman" w:hAnsi="Times New Roman" w:cs="Times New Roman"/>
        </w:rPr>
        <w:t xml:space="preserve"> o</w:t>
      </w:r>
      <w:r w:rsidR="00644197">
        <w:rPr>
          <w:rFonts w:ascii="Times New Roman" w:hAnsi="Times New Roman" w:cs="Times New Roman"/>
        </w:rPr>
        <w:t xml:space="preserve"> </w:t>
      </w:r>
      <w:r w:rsidR="00D47594" w:rsidRPr="00541F11">
        <w:rPr>
          <w:rFonts w:ascii="Times New Roman" w:hAnsi="Times New Roman" w:cs="Times New Roman"/>
        </w:rPr>
        <w:t xml:space="preserve">“Una sucinta introducción a la </w:t>
      </w:r>
      <w:r w:rsidR="005F7A0C">
        <w:rPr>
          <w:rFonts w:ascii="Times New Roman" w:hAnsi="Times New Roman" w:cs="Times New Roman"/>
        </w:rPr>
        <w:t>‘risa’</w:t>
      </w:r>
      <w:r w:rsidR="00D47594" w:rsidRPr="00541F11">
        <w:rPr>
          <w:rFonts w:ascii="Times New Roman" w:hAnsi="Times New Roman" w:cs="Times New Roman"/>
        </w:rPr>
        <w:t xml:space="preserve"> en Amiano Marcelino: </w:t>
      </w:r>
      <w:r w:rsidR="00D47594" w:rsidRPr="00541F11">
        <w:rPr>
          <w:rFonts w:ascii="Times New Roman" w:hAnsi="Times New Roman" w:cs="Times New Roman"/>
          <w:i/>
        </w:rPr>
        <w:t>Ridere, arridere e irridere / irrisio</w:t>
      </w:r>
      <w:r w:rsidR="00D47594" w:rsidRPr="00541F11">
        <w:rPr>
          <w:rFonts w:ascii="Times New Roman" w:hAnsi="Times New Roman" w:cs="Times New Roman"/>
        </w:rPr>
        <w:t>”</w:t>
      </w:r>
      <w:r w:rsidR="007D0A01">
        <w:rPr>
          <w:rFonts w:ascii="Times New Roman" w:hAnsi="Times New Roman" w:cs="Times New Roman"/>
        </w:rPr>
        <w:t xml:space="preserve"> de Isabel Moreno </w:t>
      </w:r>
      <w:r w:rsidR="00644197">
        <w:rPr>
          <w:rFonts w:ascii="Times New Roman" w:hAnsi="Times New Roman" w:cs="Times New Roman"/>
        </w:rPr>
        <w:t xml:space="preserve">(pp. 497 – </w:t>
      </w:r>
      <w:r w:rsidR="00644197" w:rsidRPr="00644197">
        <w:rPr>
          <w:rFonts w:ascii="Times New Roman" w:hAnsi="Times New Roman" w:cs="Times New Roman"/>
        </w:rPr>
        <w:t>504</w:t>
      </w:r>
      <w:r w:rsidR="002A2473">
        <w:rPr>
          <w:rFonts w:ascii="Times New Roman" w:hAnsi="Times New Roman" w:cs="Times New Roman"/>
        </w:rPr>
        <w:t>)</w:t>
      </w:r>
      <w:r w:rsidR="00D47594" w:rsidRPr="00541F11">
        <w:rPr>
          <w:rFonts w:ascii="Times New Roman" w:hAnsi="Times New Roman" w:cs="Times New Roman"/>
        </w:rPr>
        <w:t>.</w:t>
      </w:r>
    </w:p>
    <w:p w14:paraId="2CC833DF" w14:textId="43439C14" w:rsidR="00171003" w:rsidRDefault="00AD2DE2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Otras</w:t>
      </w:r>
      <w:r w:rsidR="00F87807">
        <w:rPr>
          <w:rFonts w:ascii="Times New Roman" w:hAnsi="Times New Roman" w:cs="Times New Roman"/>
        </w:rPr>
        <w:t xml:space="preserve"> </w:t>
      </w:r>
      <w:r w:rsidR="00E96CEA">
        <w:rPr>
          <w:rFonts w:ascii="Times New Roman" w:hAnsi="Times New Roman" w:cs="Times New Roman"/>
        </w:rPr>
        <w:t>comunicaciones</w:t>
      </w:r>
      <w:r>
        <w:rPr>
          <w:rFonts w:ascii="Times New Roman" w:hAnsi="Times New Roman" w:cs="Times New Roman"/>
        </w:rPr>
        <w:t>, por su parte,</w:t>
      </w:r>
      <w:r w:rsidR="00E96CEA">
        <w:rPr>
          <w:rFonts w:ascii="Times New Roman" w:hAnsi="Times New Roman" w:cs="Times New Roman"/>
        </w:rPr>
        <w:t xml:space="preserve"> se han centrado en el objetivo </w:t>
      </w:r>
      <w:r w:rsidR="009F68C5">
        <w:rPr>
          <w:rFonts w:ascii="Times New Roman" w:hAnsi="Times New Roman" w:cs="Times New Roman"/>
        </w:rPr>
        <w:t>que busca</w:t>
      </w:r>
      <w:r w:rsidR="00E96CEA">
        <w:rPr>
          <w:rFonts w:ascii="Times New Roman" w:hAnsi="Times New Roman" w:cs="Times New Roman"/>
        </w:rPr>
        <w:t xml:space="preserve"> </w:t>
      </w:r>
      <w:r w:rsidR="00904E15">
        <w:rPr>
          <w:rFonts w:ascii="Times New Roman" w:hAnsi="Times New Roman" w:cs="Times New Roman"/>
        </w:rPr>
        <w:t>e</w:t>
      </w:r>
      <w:r w:rsidR="00AD729E">
        <w:rPr>
          <w:rFonts w:ascii="Times New Roman" w:hAnsi="Times New Roman" w:cs="Times New Roman"/>
        </w:rPr>
        <w:t>l autor en determinados pasajes.</w:t>
      </w:r>
      <w:r w:rsidR="00904E15">
        <w:rPr>
          <w:rFonts w:ascii="Times New Roman" w:hAnsi="Times New Roman" w:cs="Times New Roman"/>
        </w:rPr>
        <w:t xml:space="preserve"> Jesús Bartolomé </w:t>
      </w:r>
      <w:r w:rsidR="00904E15" w:rsidRPr="00904E15">
        <w:rPr>
          <w:rFonts w:ascii="Times New Roman" w:hAnsi="Times New Roman" w:cs="Times New Roman"/>
        </w:rPr>
        <w:t>en “La función (meta)narrativa de las arengas en la obra de Livio” (pp. 375 – 382) analiza el papel q</w:t>
      </w:r>
      <w:r w:rsidR="004C55DC">
        <w:rPr>
          <w:rFonts w:ascii="Times New Roman" w:hAnsi="Times New Roman" w:cs="Times New Roman"/>
        </w:rPr>
        <w:t>ue desempeñan las arengas en la obra</w:t>
      </w:r>
      <w:r w:rsidR="00844A97">
        <w:rPr>
          <w:rFonts w:ascii="Times New Roman" w:hAnsi="Times New Roman" w:cs="Times New Roman"/>
        </w:rPr>
        <w:t xml:space="preserve"> este historiador</w:t>
      </w:r>
      <w:r w:rsidR="00904E15" w:rsidRPr="00904E15">
        <w:rPr>
          <w:rFonts w:ascii="Times New Roman" w:hAnsi="Times New Roman" w:cs="Times New Roman"/>
        </w:rPr>
        <w:t>.</w:t>
      </w:r>
      <w:r w:rsidR="00904E15" w:rsidRPr="00541F11">
        <w:rPr>
          <w:rFonts w:ascii="Times New Roman" w:hAnsi="Times New Roman" w:cs="Times New Roman"/>
        </w:rPr>
        <w:t xml:space="preserve"> </w:t>
      </w:r>
      <w:r w:rsidR="00A02E28">
        <w:rPr>
          <w:rFonts w:ascii="Times New Roman" w:hAnsi="Times New Roman" w:cs="Times New Roman"/>
        </w:rPr>
        <w:t xml:space="preserve">Del mismo modo, </w:t>
      </w:r>
      <w:r w:rsidR="002A2CCA" w:rsidRPr="00541F11">
        <w:rPr>
          <w:rFonts w:ascii="Times New Roman" w:hAnsi="Times New Roman" w:cs="Times New Roman"/>
        </w:rPr>
        <w:t xml:space="preserve">Iratxe García </w:t>
      </w:r>
      <w:r w:rsidR="003A0960">
        <w:rPr>
          <w:rFonts w:ascii="Times New Roman" w:hAnsi="Times New Roman" w:cs="Times New Roman"/>
        </w:rPr>
        <w:t xml:space="preserve">en </w:t>
      </w:r>
      <w:r w:rsidR="002A2CCA" w:rsidRPr="00541F11">
        <w:rPr>
          <w:rFonts w:ascii="Times New Roman" w:hAnsi="Times New Roman" w:cs="Times New Roman"/>
        </w:rPr>
        <w:t>“Monomaquia de Escipión y Aníbal en el relato siliano de la batalla de Cannas (9.419-485)”</w:t>
      </w:r>
      <w:r w:rsidR="00830663">
        <w:rPr>
          <w:rFonts w:ascii="Times New Roman" w:hAnsi="Times New Roman" w:cs="Times New Roman"/>
        </w:rPr>
        <w:t xml:space="preserve"> (pp.</w:t>
      </w:r>
      <w:r w:rsidR="00830663" w:rsidRPr="00830663">
        <w:t xml:space="preserve"> </w:t>
      </w:r>
      <w:r w:rsidR="00830663" w:rsidRPr="00830663">
        <w:rPr>
          <w:rFonts w:ascii="Times New Roman" w:hAnsi="Times New Roman" w:cs="Times New Roman"/>
        </w:rPr>
        <w:t>441</w:t>
      </w:r>
      <w:r w:rsidR="00830663">
        <w:rPr>
          <w:rFonts w:ascii="Times New Roman" w:hAnsi="Times New Roman" w:cs="Times New Roman"/>
        </w:rPr>
        <w:t xml:space="preserve"> – </w:t>
      </w:r>
      <w:r w:rsidR="00830663" w:rsidRPr="00830663">
        <w:rPr>
          <w:rFonts w:ascii="Times New Roman" w:hAnsi="Times New Roman" w:cs="Times New Roman"/>
        </w:rPr>
        <w:t>448</w:t>
      </w:r>
      <w:r w:rsidR="00830663">
        <w:rPr>
          <w:rFonts w:ascii="Times New Roman" w:hAnsi="Times New Roman" w:cs="Times New Roman"/>
        </w:rPr>
        <w:t>)</w:t>
      </w:r>
      <w:r w:rsidR="002A2CCA" w:rsidRPr="00541F11">
        <w:rPr>
          <w:rFonts w:ascii="Times New Roman" w:hAnsi="Times New Roman" w:cs="Times New Roman"/>
        </w:rPr>
        <w:t xml:space="preserve"> </w:t>
      </w:r>
      <w:r w:rsidR="003A0960">
        <w:rPr>
          <w:rFonts w:ascii="Times New Roman" w:hAnsi="Times New Roman" w:cs="Times New Roman"/>
        </w:rPr>
        <w:t>da cuenta de las innovaciones introducidas por Silio Itálico</w:t>
      </w:r>
      <w:r w:rsidR="002A2CCA" w:rsidRPr="00541F11">
        <w:rPr>
          <w:rFonts w:ascii="Times New Roman" w:hAnsi="Times New Roman" w:cs="Times New Roman"/>
        </w:rPr>
        <w:t xml:space="preserve"> para</w:t>
      </w:r>
      <w:r w:rsidR="005F7A0C">
        <w:rPr>
          <w:rFonts w:ascii="Times New Roman" w:hAnsi="Times New Roman" w:cs="Times New Roman"/>
        </w:rPr>
        <w:t>, entre otras,</w:t>
      </w:r>
      <w:r w:rsidR="002A2CCA" w:rsidRPr="00541F11">
        <w:rPr>
          <w:rFonts w:ascii="Times New Roman" w:hAnsi="Times New Roman" w:cs="Times New Roman"/>
        </w:rPr>
        <w:t xml:space="preserve"> situar a Escipión c</w:t>
      </w:r>
      <w:r w:rsidR="00CE2F52">
        <w:rPr>
          <w:rFonts w:ascii="Times New Roman" w:hAnsi="Times New Roman" w:cs="Times New Roman"/>
        </w:rPr>
        <w:t>omo líder de superioridad moral</w:t>
      </w:r>
      <w:r w:rsidR="002A2CCA" w:rsidRPr="00541F11">
        <w:rPr>
          <w:rFonts w:ascii="Times New Roman" w:hAnsi="Times New Roman" w:cs="Times New Roman"/>
        </w:rPr>
        <w:t>.</w:t>
      </w:r>
      <w:r w:rsidR="00CE2F52">
        <w:rPr>
          <w:rFonts w:ascii="Times New Roman" w:hAnsi="Times New Roman" w:cs="Times New Roman"/>
        </w:rPr>
        <w:t xml:space="preserve"> </w:t>
      </w:r>
      <w:r w:rsidR="00DC372C">
        <w:rPr>
          <w:rFonts w:ascii="Times New Roman" w:hAnsi="Times New Roman" w:cs="Times New Roman"/>
        </w:rPr>
        <w:t xml:space="preserve">Además, para </w:t>
      </w:r>
      <w:r w:rsidR="00E72D83">
        <w:rPr>
          <w:rFonts w:ascii="Times New Roman" w:hAnsi="Times New Roman" w:cs="Times New Roman"/>
        </w:rPr>
        <w:t>este poeta</w:t>
      </w:r>
      <w:r w:rsidR="00DC372C">
        <w:rPr>
          <w:rFonts w:ascii="Times New Roman" w:hAnsi="Times New Roman" w:cs="Times New Roman"/>
        </w:rPr>
        <w:t xml:space="preserve"> resulta preocupante e</w:t>
      </w:r>
      <w:r w:rsidR="00FD791A">
        <w:rPr>
          <w:rFonts w:ascii="Times New Roman" w:hAnsi="Times New Roman" w:cs="Times New Roman"/>
        </w:rPr>
        <w:t>l alejamiento de los romanos de su</w:t>
      </w:r>
      <w:r w:rsidR="00A02E28">
        <w:rPr>
          <w:rFonts w:ascii="Times New Roman" w:hAnsi="Times New Roman" w:cs="Times New Roman"/>
        </w:rPr>
        <w:t xml:space="preserve"> </w:t>
      </w:r>
      <w:r w:rsidR="003F0799">
        <w:rPr>
          <w:rFonts w:ascii="Times New Roman" w:hAnsi="Times New Roman" w:cs="Times New Roman"/>
        </w:rPr>
        <w:t>i</w:t>
      </w:r>
      <w:r w:rsidR="00FD791A">
        <w:rPr>
          <w:rFonts w:ascii="Times New Roman" w:hAnsi="Times New Roman" w:cs="Times New Roman"/>
        </w:rPr>
        <w:t>dentidad</w:t>
      </w:r>
      <w:r w:rsidR="00A02E28">
        <w:rPr>
          <w:rFonts w:ascii="Times New Roman" w:hAnsi="Times New Roman" w:cs="Times New Roman"/>
        </w:rPr>
        <w:t xml:space="preserve">, como se </w:t>
      </w:r>
      <w:r w:rsidR="003F0799">
        <w:rPr>
          <w:rFonts w:ascii="Times New Roman" w:hAnsi="Times New Roman" w:cs="Times New Roman"/>
        </w:rPr>
        <w:t>puede comprobar</w:t>
      </w:r>
      <w:r w:rsidR="00A02E28">
        <w:rPr>
          <w:rFonts w:ascii="Times New Roman" w:hAnsi="Times New Roman" w:cs="Times New Roman"/>
        </w:rPr>
        <w:t xml:space="preserve"> </w:t>
      </w:r>
      <w:r w:rsidR="00D745A6">
        <w:rPr>
          <w:rFonts w:ascii="Times New Roman" w:hAnsi="Times New Roman" w:cs="Times New Roman"/>
        </w:rPr>
        <w:t xml:space="preserve">en </w:t>
      </w:r>
      <w:r w:rsidR="00D745A6" w:rsidRPr="00541F11">
        <w:rPr>
          <w:rFonts w:ascii="Times New Roman" w:hAnsi="Times New Roman" w:cs="Times New Roman"/>
        </w:rPr>
        <w:t>“El catálogo de fuerzas itálicas en Silio: la alienación de la identidad romana”</w:t>
      </w:r>
      <w:r w:rsidR="001967E9">
        <w:rPr>
          <w:rFonts w:ascii="Times New Roman" w:hAnsi="Times New Roman" w:cs="Times New Roman"/>
        </w:rPr>
        <w:t xml:space="preserve"> </w:t>
      </w:r>
      <w:r w:rsidR="00DC372C">
        <w:rPr>
          <w:rFonts w:ascii="Times New Roman" w:hAnsi="Times New Roman" w:cs="Times New Roman"/>
        </w:rPr>
        <w:t xml:space="preserve">de </w:t>
      </w:r>
      <w:r w:rsidR="00DC372C" w:rsidRPr="00541F11">
        <w:rPr>
          <w:rFonts w:ascii="Times New Roman" w:hAnsi="Times New Roman" w:cs="Times New Roman"/>
        </w:rPr>
        <w:t xml:space="preserve">Patricia Lebrancón </w:t>
      </w:r>
      <w:r w:rsidR="001967E9">
        <w:rPr>
          <w:rFonts w:ascii="Times New Roman" w:hAnsi="Times New Roman" w:cs="Times New Roman"/>
        </w:rPr>
        <w:t xml:space="preserve">(pp. </w:t>
      </w:r>
      <w:r w:rsidR="001967E9" w:rsidRPr="001967E9">
        <w:rPr>
          <w:rFonts w:ascii="Times New Roman" w:hAnsi="Times New Roman" w:cs="Times New Roman"/>
        </w:rPr>
        <w:t>481</w:t>
      </w:r>
      <w:r w:rsidR="001967E9">
        <w:rPr>
          <w:rFonts w:ascii="Times New Roman" w:hAnsi="Times New Roman" w:cs="Times New Roman"/>
        </w:rPr>
        <w:t xml:space="preserve"> – </w:t>
      </w:r>
      <w:r w:rsidR="001967E9" w:rsidRPr="001967E9">
        <w:rPr>
          <w:rFonts w:ascii="Times New Roman" w:hAnsi="Times New Roman" w:cs="Times New Roman"/>
        </w:rPr>
        <w:t>488</w:t>
      </w:r>
      <w:r w:rsidR="001967E9">
        <w:rPr>
          <w:rFonts w:ascii="Times New Roman" w:hAnsi="Times New Roman" w:cs="Times New Roman"/>
        </w:rPr>
        <w:t>)</w:t>
      </w:r>
      <w:r w:rsidR="00A02E28">
        <w:rPr>
          <w:rFonts w:ascii="Times New Roman" w:hAnsi="Times New Roman" w:cs="Times New Roman"/>
        </w:rPr>
        <w:t xml:space="preserve">. </w:t>
      </w:r>
      <w:r w:rsidR="00E96CEA">
        <w:rPr>
          <w:rFonts w:ascii="Times New Roman" w:hAnsi="Times New Roman" w:cs="Times New Roman"/>
        </w:rPr>
        <w:t>Cabe también destacar</w:t>
      </w:r>
      <w:r w:rsidR="00D745A6">
        <w:rPr>
          <w:rFonts w:ascii="Times New Roman" w:hAnsi="Times New Roman" w:cs="Times New Roman"/>
        </w:rPr>
        <w:t xml:space="preserve"> “‘¿Vale todo en una guerra?’</w:t>
      </w:r>
      <w:r w:rsidR="00C018D3" w:rsidRPr="00541F11">
        <w:rPr>
          <w:rFonts w:ascii="Times New Roman" w:hAnsi="Times New Roman" w:cs="Times New Roman"/>
        </w:rPr>
        <w:t xml:space="preserve"> Subversión del código épico-heroico (y re-homerización) en el libro </w:t>
      </w:r>
      <w:r w:rsidR="006F2DF2">
        <w:rPr>
          <w:rFonts w:ascii="Times New Roman" w:hAnsi="Times New Roman" w:cs="Times New Roman"/>
        </w:rPr>
        <w:t>X</w:t>
      </w:r>
      <w:r w:rsidR="00C018D3" w:rsidRPr="00541F11">
        <w:rPr>
          <w:rFonts w:ascii="Times New Roman" w:hAnsi="Times New Roman" w:cs="Times New Roman"/>
        </w:rPr>
        <w:t xml:space="preserve"> de la </w:t>
      </w:r>
      <w:r w:rsidR="00C018D3" w:rsidRPr="00CE2F52">
        <w:rPr>
          <w:rFonts w:ascii="Times New Roman" w:hAnsi="Times New Roman" w:cs="Times New Roman"/>
          <w:i/>
        </w:rPr>
        <w:t>Tebaida</w:t>
      </w:r>
      <w:r w:rsidR="00C018D3" w:rsidRPr="00541F11">
        <w:rPr>
          <w:rFonts w:ascii="Times New Roman" w:hAnsi="Times New Roman" w:cs="Times New Roman"/>
        </w:rPr>
        <w:t xml:space="preserve"> de </w:t>
      </w:r>
      <w:r w:rsidR="00C018D3" w:rsidRPr="007B69C3">
        <w:rPr>
          <w:rFonts w:ascii="Times New Roman" w:hAnsi="Times New Roman" w:cs="Times New Roman"/>
        </w:rPr>
        <w:t>Estacio</w:t>
      </w:r>
      <w:r w:rsidR="00BA772C">
        <w:rPr>
          <w:rFonts w:ascii="Times New Roman" w:hAnsi="Times New Roman" w:cs="Times New Roman"/>
        </w:rPr>
        <w:t>”</w:t>
      </w:r>
      <w:r w:rsidR="00225604">
        <w:rPr>
          <w:rFonts w:ascii="Times New Roman" w:hAnsi="Times New Roman" w:cs="Times New Roman"/>
        </w:rPr>
        <w:t xml:space="preserve"> (pp. </w:t>
      </w:r>
      <w:r w:rsidR="00225604" w:rsidRPr="00225604">
        <w:rPr>
          <w:rFonts w:ascii="Times New Roman" w:hAnsi="Times New Roman" w:cs="Times New Roman"/>
        </w:rPr>
        <w:t>547</w:t>
      </w:r>
      <w:r w:rsidR="00225604">
        <w:rPr>
          <w:rFonts w:ascii="Times New Roman" w:hAnsi="Times New Roman" w:cs="Times New Roman"/>
        </w:rPr>
        <w:t xml:space="preserve"> – </w:t>
      </w:r>
      <w:r w:rsidR="00225604" w:rsidRPr="00225604">
        <w:rPr>
          <w:rFonts w:ascii="Times New Roman" w:hAnsi="Times New Roman" w:cs="Times New Roman"/>
        </w:rPr>
        <w:t>554</w:t>
      </w:r>
      <w:r w:rsidR="00225604">
        <w:rPr>
          <w:rFonts w:ascii="Times New Roman" w:hAnsi="Times New Roman" w:cs="Times New Roman"/>
        </w:rPr>
        <w:t>)</w:t>
      </w:r>
      <w:r w:rsidR="00E96CEA">
        <w:rPr>
          <w:rFonts w:ascii="Times New Roman" w:hAnsi="Times New Roman" w:cs="Times New Roman"/>
        </w:rPr>
        <w:t xml:space="preserve"> de José Manuel Vélez</w:t>
      </w:r>
      <w:r w:rsidR="005D2E48">
        <w:rPr>
          <w:rFonts w:ascii="Times New Roman" w:hAnsi="Times New Roman" w:cs="Times New Roman"/>
        </w:rPr>
        <w:t>,</w:t>
      </w:r>
      <w:r w:rsidR="00D745A6">
        <w:rPr>
          <w:rFonts w:ascii="Times New Roman" w:hAnsi="Times New Roman" w:cs="Times New Roman"/>
        </w:rPr>
        <w:t xml:space="preserve"> </w:t>
      </w:r>
      <w:r w:rsidR="00CE2F52">
        <w:rPr>
          <w:rFonts w:ascii="Times New Roman" w:hAnsi="Times New Roman" w:cs="Times New Roman"/>
        </w:rPr>
        <w:t>donde</w:t>
      </w:r>
      <w:r w:rsidR="00C018D3" w:rsidRPr="00541F11">
        <w:rPr>
          <w:rFonts w:ascii="Times New Roman" w:hAnsi="Times New Roman" w:cs="Times New Roman"/>
        </w:rPr>
        <w:t xml:space="preserve"> </w:t>
      </w:r>
      <w:r w:rsidR="005D2E48">
        <w:rPr>
          <w:rFonts w:ascii="Times New Roman" w:hAnsi="Times New Roman" w:cs="Times New Roman"/>
        </w:rPr>
        <w:t xml:space="preserve">lo que importa mostrar no son </w:t>
      </w:r>
      <w:r w:rsidR="00C018D3" w:rsidRPr="00541F11">
        <w:rPr>
          <w:rFonts w:ascii="Times New Roman" w:hAnsi="Times New Roman" w:cs="Times New Roman"/>
        </w:rPr>
        <w:t>los resultados de las luchas sino el horror</w:t>
      </w:r>
      <w:r w:rsidR="005D2E48">
        <w:rPr>
          <w:rFonts w:ascii="Times New Roman" w:hAnsi="Times New Roman" w:cs="Times New Roman"/>
        </w:rPr>
        <w:t xml:space="preserve"> que producen</w:t>
      </w:r>
      <w:r w:rsidR="00C018D3" w:rsidRPr="00541F11">
        <w:rPr>
          <w:rFonts w:ascii="Times New Roman" w:hAnsi="Times New Roman" w:cs="Times New Roman"/>
        </w:rPr>
        <w:t>.</w:t>
      </w:r>
    </w:p>
    <w:p w14:paraId="4C20E2D2" w14:textId="6AB34394" w:rsidR="00D114E0" w:rsidRDefault="00921A9A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es que, tan sólo con las palabras, es posible</w:t>
      </w:r>
      <w:r w:rsidR="00EC5B46">
        <w:rPr>
          <w:rFonts w:ascii="Times New Roman" w:hAnsi="Times New Roman" w:cs="Times New Roman"/>
        </w:rPr>
        <w:t xml:space="preserve"> p</w:t>
      </w:r>
      <w:r w:rsidR="00FD6F56">
        <w:rPr>
          <w:rFonts w:ascii="Times New Roman" w:hAnsi="Times New Roman" w:cs="Times New Roman"/>
        </w:rPr>
        <w:t xml:space="preserve">rovocar </w:t>
      </w:r>
      <w:r w:rsidR="00EC5B46">
        <w:rPr>
          <w:rFonts w:ascii="Times New Roman" w:hAnsi="Times New Roman" w:cs="Times New Roman"/>
        </w:rPr>
        <w:t xml:space="preserve">horror </w:t>
      </w:r>
      <w:r w:rsidR="00FD6F56">
        <w:rPr>
          <w:rFonts w:ascii="Times New Roman" w:hAnsi="Times New Roman" w:cs="Times New Roman"/>
        </w:rPr>
        <w:t>o</w:t>
      </w:r>
      <w:r w:rsidR="00EC5B46">
        <w:rPr>
          <w:rFonts w:ascii="Times New Roman" w:hAnsi="Times New Roman" w:cs="Times New Roman"/>
        </w:rPr>
        <w:t xml:space="preserve"> invitar</w:t>
      </w:r>
      <w:r w:rsidR="009D3AC5">
        <w:rPr>
          <w:rFonts w:ascii="Times New Roman" w:hAnsi="Times New Roman" w:cs="Times New Roman"/>
        </w:rPr>
        <w:t xml:space="preserve"> a</w:t>
      </w:r>
      <w:r w:rsidR="00FD6F56">
        <w:rPr>
          <w:rFonts w:ascii="Times New Roman" w:hAnsi="Times New Roman" w:cs="Times New Roman"/>
        </w:rPr>
        <w:t xml:space="preserve"> la reflexión</w:t>
      </w:r>
      <w:r w:rsidR="006A0CCA">
        <w:rPr>
          <w:rFonts w:ascii="Times New Roman" w:hAnsi="Times New Roman" w:cs="Times New Roman"/>
        </w:rPr>
        <w:t>,</w:t>
      </w:r>
      <w:r w:rsidR="00FD6F56">
        <w:rPr>
          <w:rFonts w:ascii="Times New Roman" w:hAnsi="Times New Roman" w:cs="Times New Roman"/>
        </w:rPr>
        <w:t xml:space="preserve"> </w:t>
      </w:r>
      <w:r w:rsidR="00E96CEA">
        <w:rPr>
          <w:rFonts w:ascii="Times New Roman" w:hAnsi="Times New Roman" w:cs="Times New Roman"/>
        </w:rPr>
        <w:t>lo que las convierte en poderosos instrumentos</w:t>
      </w:r>
      <w:r w:rsidR="00FD6F56">
        <w:rPr>
          <w:rFonts w:ascii="Times New Roman" w:hAnsi="Times New Roman" w:cs="Times New Roman"/>
        </w:rPr>
        <w:t xml:space="preserve">. </w:t>
      </w:r>
      <w:r w:rsidR="00E72D83">
        <w:rPr>
          <w:rFonts w:ascii="Times New Roman" w:hAnsi="Times New Roman" w:cs="Times New Roman"/>
        </w:rPr>
        <w:t xml:space="preserve">Sobre </w:t>
      </w:r>
      <w:r w:rsidR="00AA2EA7">
        <w:rPr>
          <w:rFonts w:ascii="Times New Roman" w:hAnsi="Times New Roman" w:cs="Times New Roman"/>
        </w:rPr>
        <w:t>su importancia</w:t>
      </w:r>
      <w:r w:rsidR="00E72D83">
        <w:rPr>
          <w:rFonts w:ascii="Times New Roman" w:hAnsi="Times New Roman" w:cs="Times New Roman"/>
        </w:rPr>
        <w:t xml:space="preserve"> </w:t>
      </w:r>
      <w:r w:rsidR="00E96CEA">
        <w:rPr>
          <w:rFonts w:ascii="Times New Roman" w:hAnsi="Times New Roman" w:cs="Times New Roman"/>
        </w:rPr>
        <w:t xml:space="preserve">ya había reflexionado </w:t>
      </w:r>
      <w:r w:rsidR="00E72D83" w:rsidRPr="00FD6F56">
        <w:rPr>
          <w:rFonts w:ascii="Times New Roman" w:hAnsi="Times New Roman" w:cs="Times New Roman"/>
        </w:rPr>
        <w:t>Plinio</w:t>
      </w:r>
      <w:r w:rsidR="00E72D83">
        <w:rPr>
          <w:rFonts w:ascii="Times New Roman" w:hAnsi="Times New Roman" w:cs="Times New Roman"/>
        </w:rPr>
        <w:t xml:space="preserve"> el Viejo</w:t>
      </w:r>
      <w:r w:rsidR="007D09A3" w:rsidRPr="00FD6F56">
        <w:rPr>
          <w:rFonts w:ascii="Times New Roman" w:hAnsi="Times New Roman" w:cs="Times New Roman"/>
        </w:rPr>
        <w:t xml:space="preserve">, como </w:t>
      </w:r>
      <w:r>
        <w:rPr>
          <w:rFonts w:ascii="Times New Roman" w:hAnsi="Times New Roman" w:cs="Times New Roman"/>
        </w:rPr>
        <w:t>cuenta</w:t>
      </w:r>
      <w:r w:rsidR="007D09A3" w:rsidRPr="00FD6F56">
        <w:rPr>
          <w:rFonts w:ascii="Times New Roman" w:hAnsi="Times New Roman" w:cs="Times New Roman"/>
        </w:rPr>
        <w:t xml:space="preserve"> </w:t>
      </w:r>
      <w:r w:rsidR="009D23C2" w:rsidRPr="00FD6F56">
        <w:rPr>
          <w:rFonts w:ascii="Times New Roman" w:hAnsi="Times New Roman" w:cs="Times New Roman"/>
        </w:rPr>
        <w:t>Francisco</w:t>
      </w:r>
      <w:r w:rsidR="009D23C2" w:rsidRPr="007D09A3">
        <w:rPr>
          <w:rFonts w:ascii="Times New Roman" w:hAnsi="Times New Roman" w:cs="Times New Roman"/>
        </w:rPr>
        <w:t xml:space="preserve"> Oliveira</w:t>
      </w:r>
      <w:r w:rsidR="006F2DF2" w:rsidRPr="007D09A3">
        <w:rPr>
          <w:rFonts w:ascii="Times New Roman" w:hAnsi="Times New Roman" w:cs="Times New Roman"/>
        </w:rPr>
        <w:t xml:space="preserve"> en</w:t>
      </w:r>
      <w:r w:rsidR="009D23C2" w:rsidRPr="007D09A3">
        <w:rPr>
          <w:rFonts w:ascii="Times New Roman" w:hAnsi="Times New Roman" w:cs="Times New Roman"/>
        </w:rPr>
        <w:t xml:space="preserve"> “El poder de la palabra en Plinio el Viejo” </w:t>
      </w:r>
      <w:r w:rsidR="00FD355C" w:rsidRPr="007D09A3">
        <w:rPr>
          <w:rFonts w:ascii="Times New Roman" w:hAnsi="Times New Roman" w:cs="Times New Roman"/>
        </w:rPr>
        <w:t>(pp. 51</w:t>
      </w:r>
      <w:r w:rsidR="0042500B" w:rsidRPr="007D09A3">
        <w:rPr>
          <w:rFonts w:ascii="Times New Roman" w:hAnsi="Times New Roman" w:cs="Times New Roman"/>
        </w:rPr>
        <w:t>5 – 522)</w:t>
      </w:r>
      <w:r w:rsidR="005D2E48" w:rsidRPr="005D2E48">
        <w:rPr>
          <w:rFonts w:ascii="Times New Roman" w:hAnsi="Times New Roman" w:cs="Times New Roman"/>
        </w:rPr>
        <w:t>. Además,</w:t>
      </w:r>
      <w:r w:rsidR="00171003" w:rsidRPr="005D2E48">
        <w:rPr>
          <w:rFonts w:ascii="Times New Roman" w:hAnsi="Times New Roman" w:cs="Times New Roman"/>
        </w:rPr>
        <w:t xml:space="preserve"> la palabra es de gran </w:t>
      </w:r>
      <w:r w:rsidR="00AA2EA7">
        <w:rPr>
          <w:rFonts w:ascii="Times New Roman" w:hAnsi="Times New Roman" w:cs="Times New Roman"/>
        </w:rPr>
        <w:t>ayuda</w:t>
      </w:r>
      <w:r w:rsidR="00171003" w:rsidRPr="005D2E48">
        <w:rPr>
          <w:rFonts w:ascii="Times New Roman" w:hAnsi="Times New Roman" w:cs="Times New Roman"/>
        </w:rPr>
        <w:t xml:space="preserve"> para</w:t>
      </w:r>
      <w:r w:rsidR="00171003">
        <w:rPr>
          <w:rFonts w:ascii="Times New Roman" w:hAnsi="Times New Roman" w:cs="Times New Roman"/>
        </w:rPr>
        <w:t xml:space="preserve"> proyectar </w:t>
      </w:r>
      <w:r w:rsidR="006A0CCA">
        <w:rPr>
          <w:rFonts w:ascii="Times New Roman" w:hAnsi="Times New Roman" w:cs="Times New Roman"/>
        </w:rPr>
        <w:t xml:space="preserve">en el </w:t>
      </w:r>
      <w:r w:rsidR="00E72D83">
        <w:rPr>
          <w:rFonts w:ascii="Times New Roman" w:hAnsi="Times New Roman" w:cs="Times New Roman"/>
        </w:rPr>
        <w:t>destinatario</w:t>
      </w:r>
      <w:r w:rsidR="006A0CCA">
        <w:rPr>
          <w:rFonts w:ascii="Times New Roman" w:hAnsi="Times New Roman" w:cs="Times New Roman"/>
        </w:rPr>
        <w:t xml:space="preserve"> </w:t>
      </w:r>
      <w:r w:rsidR="00084808">
        <w:rPr>
          <w:rFonts w:ascii="Times New Roman" w:hAnsi="Times New Roman" w:cs="Times New Roman"/>
        </w:rPr>
        <w:t>una</w:t>
      </w:r>
      <w:r w:rsidR="006A0CCA">
        <w:rPr>
          <w:rFonts w:ascii="Times New Roman" w:hAnsi="Times New Roman" w:cs="Times New Roman"/>
        </w:rPr>
        <w:t xml:space="preserve"> ima</w:t>
      </w:r>
      <w:r w:rsidR="00171003">
        <w:rPr>
          <w:rFonts w:ascii="Times New Roman" w:hAnsi="Times New Roman" w:cs="Times New Roman"/>
        </w:rPr>
        <w:t>gen</w:t>
      </w:r>
      <w:r w:rsidR="006A0CCA">
        <w:rPr>
          <w:rFonts w:ascii="Times New Roman" w:hAnsi="Times New Roman" w:cs="Times New Roman"/>
        </w:rPr>
        <w:t xml:space="preserve"> </w:t>
      </w:r>
      <w:r w:rsidR="009F68C5">
        <w:rPr>
          <w:rFonts w:ascii="Times New Roman" w:hAnsi="Times New Roman" w:cs="Times New Roman"/>
        </w:rPr>
        <w:t>concreta</w:t>
      </w:r>
      <w:r w:rsidR="00AA2EA7">
        <w:rPr>
          <w:rFonts w:ascii="Times New Roman" w:hAnsi="Times New Roman" w:cs="Times New Roman"/>
        </w:rPr>
        <w:t>,</w:t>
      </w:r>
      <w:r w:rsidR="009F68C5">
        <w:rPr>
          <w:rFonts w:ascii="Times New Roman" w:hAnsi="Times New Roman" w:cs="Times New Roman"/>
        </w:rPr>
        <w:t xml:space="preserve"> ya sea positiva</w:t>
      </w:r>
      <w:r w:rsidR="00084808">
        <w:rPr>
          <w:rFonts w:ascii="Times New Roman" w:hAnsi="Times New Roman" w:cs="Times New Roman"/>
        </w:rPr>
        <w:t xml:space="preserve">, como </w:t>
      </w:r>
      <w:r w:rsidR="00E72D83">
        <w:rPr>
          <w:rFonts w:ascii="Times New Roman" w:hAnsi="Times New Roman" w:cs="Times New Roman"/>
        </w:rPr>
        <w:t xml:space="preserve">se observa </w:t>
      </w:r>
      <w:r w:rsidR="00084808">
        <w:rPr>
          <w:rFonts w:ascii="Times New Roman" w:hAnsi="Times New Roman" w:cs="Times New Roman"/>
        </w:rPr>
        <w:t>e</w:t>
      </w:r>
      <w:r w:rsidR="00171003">
        <w:rPr>
          <w:rFonts w:ascii="Times New Roman" w:hAnsi="Times New Roman" w:cs="Times New Roman"/>
        </w:rPr>
        <w:t xml:space="preserve">n </w:t>
      </w:r>
      <w:r w:rsidR="009D23C2" w:rsidRPr="00541F11">
        <w:rPr>
          <w:rFonts w:ascii="Times New Roman" w:hAnsi="Times New Roman" w:cs="Times New Roman"/>
        </w:rPr>
        <w:t xml:space="preserve">“Autorrepresentación del orador en las </w:t>
      </w:r>
      <w:r w:rsidR="009D23C2" w:rsidRPr="00541F11">
        <w:rPr>
          <w:rFonts w:ascii="Times New Roman" w:hAnsi="Times New Roman" w:cs="Times New Roman"/>
          <w:i/>
        </w:rPr>
        <w:t>gratiarum actiones</w:t>
      </w:r>
      <w:r w:rsidR="009D23C2" w:rsidRPr="00541F11">
        <w:rPr>
          <w:rFonts w:ascii="Times New Roman" w:hAnsi="Times New Roman" w:cs="Times New Roman"/>
        </w:rPr>
        <w:t xml:space="preserve"> consulares de época imperial”</w:t>
      </w:r>
      <w:r w:rsidR="00084808">
        <w:rPr>
          <w:rFonts w:ascii="Times New Roman" w:hAnsi="Times New Roman" w:cs="Times New Roman"/>
        </w:rPr>
        <w:t xml:space="preserve"> de </w:t>
      </w:r>
      <w:r w:rsidR="00084808" w:rsidRPr="00541F11">
        <w:rPr>
          <w:rFonts w:ascii="Times New Roman" w:hAnsi="Times New Roman" w:cs="Times New Roman"/>
        </w:rPr>
        <w:t>Isabel Gómez</w:t>
      </w:r>
      <w:r w:rsidR="009D23C2" w:rsidRPr="00541F11">
        <w:rPr>
          <w:rFonts w:ascii="Times New Roman" w:hAnsi="Times New Roman" w:cs="Times New Roman"/>
        </w:rPr>
        <w:t xml:space="preserve"> </w:t>
      </w:r>
      <w:r w:rsidR="00171003">
        <w:rPr>
          <w:rFonts w:ascii="Times New Roman" w:hAnsi="Times New Roman" w:cs="Times New Roman"/>
        </w:rPr>
        <w:t xml:space="preserve">(pp. </w:t>
      </w:r>
      <w:r w:rsidR="00171003" w:rsidRPr="00171003">
        <w:rPr>
          <w:rFonts w:ascii="Times New Roman" w:hAnsi="Times New Roman" w:cs="Times New Roman"/>
        </w:rPr>
        <w:t>457</w:t>
      </w:r>
      <w:r w:rsidR="00993E99">
        <w:rPr>
          <w:rFonts w:ascii="Times New Roman" w:hAnsi="Times New Roman" w:cs="Times New Roman"/>
        </w:rPr>
        <w:t xml:space="preserve"> – </w:t>
      </w:r>
      <w:r w:rsidR="00171003" w:rsidRPr="00171003">
        <w:rPr>
          <w:rFonts w:ascii="Times New Roman" w:hAnsi="Times New Roman" w:cs="Times New Roman"/>
        </w:rPr>
        <w:t>464</w:t>
      </w:r>
      <w:r w:rsidR="009F68C5">
        <w:rPr>
          <w:rFonts w:ascii="Times New Roman" w:hAnsi="Times New Roman" w:cs="Times New Roman"/>
        </w:rPr>
        <w:t xml:space="preserve">), o </w:t>
      </w:r>
      <w:r w:rsidR="00263534">
        <w:rPr>
          <w:rFonts w:ascii="Times New Roman" w:hAnsi="Times New Roman" w:cs="Times New Roman"/>
        </w:rPr>
        <w:t>negativa</w:t>
      </w:r>
      <w:r w:rsidR="00993E99">
        <w:rPr>
          <w:rFonts w:ascii="Times New Roman" w:hAnsi="Times New Roman" w:cs="Times New Roman"/>
        </w:rPr>
        <w:t xml:space="preserve">, como </w:t>
      </w:r>
      <w:r w:rsidR="00E72D83">
        <w:rPr>
          <w:rFonts w:ascii="Times New Roman" w:hAnsi="Times New Roman" w:cs="Times New Roman"/>
        </w:rPr>
        <w:t>explica</w:t>
      </w:r>
      <w:r w:rsidR="00171003">
        <w:rPr>
          <w:rFonts w:ascii="Times New Roman" w:hAnsi="Times New Roman" w:cs="Times New Roman"/>
        </w:rPr>
        <w:t xml:space="preserve"> </w:t>
      </w:r>
      <w:r w:rsidR="00993E99">
        <w:rPr>
          <w:rFonts w:ascii="Times New Roman" w:hAnsi="Times New Roman" w:cs="Times New Roman"/>
        </w:rPr>
        <w:t>J. Alberto Rodríguez en</w:t>
      </w:r>
      <w:r w:rsidR="009D23C2" w:rsidRPr="00541F11">
        <w:rPr>
          <w:rFonts w:ascii="Times New Roman" w:hAnsi="Times New Roman" w:cs="Times New Roman"/>
        </w:rPr>
        <w:t xml:space="preserve"> </w:t>
      </w:r>
      <w:r w:rsidR="00707383">
        <w:rPr>
          <w:rFonts w:ascii="Times New Roman" w:hAnsi="Times New Roman" w:cs="Times New Roman"/>
        </w:rPr>
        <w:t>“</w:t>
      </w:r>
      <w:r w:rsidR="009D23C2" w:rsidRPr="00541F11">
        <w:rPr>
          <w:rFonts w:ascii="Times New Roman" w:hAnsi="Times New Roman" w:cs="Times New Roman"/>
        </w:rPr>
        <w:t>La ambigüedad tacitiana en la muerte de Druso César (</w:t>
      </w:r>
      <w:r w:rsidR="009D23C2" w:rsidRPr="00541F11">
        <w:rPr>
          <w:rFonts w:ascii="Times New Roman" w:hAnsi="Times New Roman" w:cs="Times New Roman"/>
          <w:i/>
        </w:rPr>
        <w:t>ann</w:t>
      </w:r>
      <w:r w:rsidR="00707383">
        <w:rPr>
          <w:rFonts w:ascii="Times New Roman" w:hAnsi="Times New Roman" w:cs="Times New Roman"/>
        </w:rPr>
        <w:t>. 4.8-12)”</w:t>
      </w:r>
      <w:r w:rsidR="00993E99">
        <w:rPr>
          <w:rFonts w:ascii="Times New Roman" w:hAnsi="Times New Roman" w:cs="Times New Roman"/>
        </w:rPr>
        <w:t xml:space="preserve"> (pp.</w:t>
      </w:r>
      <w:r w:rsidR="00993E99" w:rsidRPr="00993E99">
        <w:t xml:space="preserve"> </w:t>
      </w:r>
      <w:r w:rsidR="00993E99" w:rsidRPr="00993E99">
        <w:rPr>
          <w:rFonts w:ascii="Times New Roman" w:hAnsi="Times New Roman" w:cs="Times New Roman"/>
        </w:rPr>
        <w:t>539</w:t>
      </w:r>
      <w:r w:rsidR="00993E99">
        <w:rPr>
          <w:rFonts w:ascii="Times New Roman" w:hAnsi="Times New Roman" w:cs="Times New Roman"/>
        </w:rPr>
        <w:t xml:space="preserve"> – </w:t>
      </w:r>
      <w:r w:rsidR="00993E99" w:rsidRPr="00993E99">
        <w:rPr>
          <w:rFonts w:ascii="Times New Roman" w:hAnsi="Times New Roman" w:cs="Times New Roman"/>
        </w:rPr>
        <w:t>546</w:t>
      </w:r>
      <w:r w:rsidR="00993E99">
        <w:rPr>
          <w:rFonts w:ascii="Times New Roman" w:hAnsi="Times New Roman" w:cs="Times New Roman"/>
        </w:rPr>
        <w:t>)</w:t>
      </w:r>
      <w:r w:rsidR="005D2E48">
        <w:rPr>
          <w:rFonts w:ascii="Times New Roman" w:hAnsi="Times New Roman" w:cs="Times New Roman"/>
        </w:rPr>
        <w:t>, donde se analiza el pasaje en que</w:t>
      </w:r>
      <w:r w:rsidR="00707383">
        <w:rPr>
          <w:rFonts w:ascii="Times New Roman" w:hAnsi="Times New Roman" w:cs="Times New Roman"/>
        </w:rPr>
        <w:t xml:space="preserve"> </w:t>
      </w:r>
      <w:r w:rsidR="009D23C2" w:rsidRPr="00541F11">
        <w:rPr>
          <w:rFonts w:ascii="Times New Roman" w:hAnsi="Times New Roman" w:cs="Times New Roman"/>
        </w:rPr>
        <w:t xml:space="preserve">Tácito </w:t>
      </w:r>
      <w:r w:rsidR="00171003">
        <w:rPr>
          <w:rFonts w:ascii="Times New Roman" w:hAnsi="Times New Roman" w:cs="Times New Roman"/>
        </w:rPr>
        <w:t>se hace eco de un</w:t>
      </w:r>
      <w:r w:rsidR="00AA2EA7">
        <w:rPr>
          <w:rFonts w:ascii="Times New Roman" w:hAnsi="Times New Roman" w:cs="Times New Roman"/>
        </w:rPr>
        <w:t xml:space="preserve"> simple</w:t>
      </w:r>
      <w:r w:rsidR="00171003">
        <w:rPr>
          <w:rFonts w:ascii="Times New Roman" w:hAnsi="Times New Roman" w:cs="Times New Roman"/>
        </w:rPr>
        <w:t xml:space="preserve"> rumor </w:t>
      </w:r>
      <w:r w:rsidR="006A3C70">
        <w:rPr>
          <w:rFonts w:ascii="Times New Roman" w:hAnsi="Times New Roman" w:cs="Times New Roman"/>
        </w:rPr>
        <w:t>como</w:t>
      </w:r>
      <w:r w:rsidR="006A0CCA">
        <w:rPr>
          <w:rFonts w:ascii="Times New Roman" w:hAnsi="Times New Roman" w:cs="Times New Roman"/>
        </w:rPr>
        <w:t xml:space="preserve"> recurso impresivo para transmitir al lector un</w:t>
      </w:r>
      <w:r w:rsidR="00FD6F56">
        <w:rPr>
          <w:rFonts w:ascii="Times New Roman" w:hAnsi="Times New Roman" w:cs="Times New Roman"/>
        </w:rPr>
        <w:t xml:space="preserve">a imagen </w:t>
      </w:r>
      <w:r w:rsidR="00263534">
        <w:rPr>
          <w:rFonts w:ascii="Times New Roman" w:hAnsi="Times New Roman" w:cs="Times New Roman"/>
        </w:rPr>
        <w:t>desfavorable</w:t>
      </w:r>
      <w:r w:rsidR="00FD6F56">
        <w:rPr>
          <w:rFonts w:ascii="Times New Roman" w:hAnsi="Times New Roman" w:cs="Times New Roman"/>
        </w:rPr>
        <w:t xml:space="preserve"> de Tiberio</w:t>
      </w:r>
      <w:r w:rsidR="00171003">
        <w:rPr>
          <w:rFonts w:ascii="Times New Roman" w:hAnsi="Times New Roman" w:cs="Times New Roman"/>
        </w:rPr>
        <w:t>.</w:t>
      </w:r>
      <w:r w:rsidR="002F06E0">
        <w:rPr>
          <w:rFonts w:ascii="Times New Roman" w:hAnsi="Times New Roman" w:cs="Times New Roman"/>
        </w:rPr>
        <w:t xml:space="preserve"> Las palabras p</w:t>
      </w:r>
      <w:r w:rsidR="00D114E0">
        <w:rPr>
          <w:rFonts w:ascii="Times New Roman" w:hAnsi="Times New Roman" w:cs="Times New Roman"/>
        </w:rPr>
        <w:t>uede</w:t>
      </w:r>
      <w:r w:rsidR="002F06E0">
        <w:rPr>
          <w:rFonts w:ascii="Times New Roman" w:hAnsi="Times New Roman" w:cs="Times New Roman"/>
        </w:rPr>
        <w:t xml:space="preserve">n </w:t>
      </w:r>
      <w:r w:rsidR="00AA2EA7">
        <w:rPr>
          <w:rFonts w:ascii="Times New Roman" w:hAnsi="Times New Roman" w:cs="Times New Roman"/>
        </w:rPr>
        <w:t>condicionar la percepción –</w:t>
      </w:r>
      <w:r w:rsidR="009D23C2" w:rsidRPr="00541F11">
        <w:rPr>
          <w:rFonts w:ascii="Times New Roman" w:hAnsi="Times New Roman" w:cs="Times New Roman"/>
        </w:rPr>
        <w:t>“Paisajes de papel. Sidonio Apolinar y la textualización de la experiencia en la literatura tardoantigua”</w:t>
      </w:r>
      <w:r w:rsidR="00F63E08">
        <w:rPr>
          <w:rFonts w:ascii="Times New Roman" w:hAnsi="Times New Roman" w:cs="Times New Roman"/>
        </w:rPr>
        <w:t xml:space="preserve"> de </w:t>
      </w:r>
      <w:r w:rsidR="00F63E08" w:rsidRPr="00541F11">
        <w:rPr>
          <w:rFonts w:ascii="Times New Roman" w:hAnsi="Times New Roman" w:cs="Times New Roman"/>
        </w:rPr>
        <w:t xml:space="preserve">Jesús Hernández </w:t>
      </w:r>
      <w:r w:rsidR="00F63E08">
        <w:rPr>
          <w:rFonts w:ascii="Times New Roman" w:hAnsi="Times New Roman" w:cs="Times New Roman"/>
        </w:rPr>
        <w:t xml:space="preserve">(pp. </w:t>
      </w:r>
      <w:r w:rsidR="00F63E08" w:rsidRPr="00F63E08">
        <w:rPr>
          <w:rFonts w:ascii="Times New Roman" w:hAnsi="Times New Roman" w:cs="Times New Roman"/>
        </w:rPr>
        <w:t>465</w:t>
      </w:r>
      <w:r w:rsidR="009C650B" w:rsidRPr="00B9411D">
        <w:rPr>
          <w:rFonts w:ascii="Times New Roman" w:hAnsi="Times New Roman" w:cs="Times New Roman"/>
        </w:rPr>
        <w:t xml:space="preserve"> – </w:t>
      </w:r>
      <w:r w:rsidR="00F63E08" w:rsidRPr="00F63E08">
        <w:rPr>
          <w:rFonts w:ascii="Times New Roman" w:hAnsi="Times New Roman" w:cs="Times New Roman"/>
        </w:rPr>
        <w:t>472</w:t>
      </w:r>
      <w:r w:rsidR="00F63E08">
        <w:rPr>
          <w:rFonts w:ascii="Times New Roman" w:hAnsi="Times New Roman" w:cs="Times New Roman"/>
        </w:rPr>
        <w:t>)</w:t>
      </w:r>
      <w:r w:rsidR="00AA2EA7" w:rsidRPr="00B9411D">
        <w:rPr>
          <w:rFonts w:ascii="Times New Roman" w:hAnsi="Times New Roman" w:cs="Times New Roman"/>
        </w:rPr>
        <w:t>–</w:t>
      </w:r>
      <w:r w:rsidR="002F06E0">
        <w:rPr>
          <w:rFonts w:ascii="Times New Roman" w:hAnsi="Times New Roman" w:cs="Times New Roman"/>
        </w:rPr>
        <w:t>, e, incluso,</w:t>
      </w:r>
      <w:r w:rsidR="009C650B">
        <w:rPr>
          <w:rFonts w:ascii="Times New Roman" w:hAnsi="Times New Roman" w:cs="Times New Roman"/>
        </w:rPr>
        <w:t xml:space="preserve"> </w:t>
      </w:r>
      <w:r w:rsidR="002F06E0">
        <w:rPr>
          <w:rFonts w:ascii="Times New Roman" w:hAnsi="Times New Roman" w:cs="Times New Roman"/>
        </w:rPr>
        <w:t>pueden resultar</w:t>
      </w:r>
      <w:r w:rsidR="00FD791A">
        <w:rPr>
          <w:rFonts w:ascii="Times New Roman" w:hAnsi="Times New Roman" w:cs="Times New Roman"/>
        </w:rPr>
        <w:t xml:space="preserve"> igualmente</w:t>
      </w:r>
      <w:r w:rsidR="00D114E0" w:rsidRPr="00B9411D">
        <w:rPr>
          <w:rFonts w:ascii="Times New Roman" w:hAnsi="Times New Roman" w:cs="Times New Roman"/>
        </w:rPr>
        <w:t xml:space="preserve"> significativa</w:t>
      </w:r>
      <w:r w:rsidR="002F06E0">
        <w:rPr>
          <w:rFonts w:ascii="Times New Roman" w:hAnsi="Times New Roman" w:cs="Times New Roman"/>
        </w:rPr>
        <w:t>s cuando están ausentes</w:t>
      </w:r>
      <w:r w:rsidR="00D114E0" w:rsidRPr="00B9411D">
        <w:rPr>
          <w:rFonts w:ascii="Times New Roman" w:hAnsi="Times New Roman" w:cs="Times New Roman"/>
        </w:rPr>
        <w:t xml:space="preserve">, </w:t>
      </w:r>
      <w:r w:rsidR="00084808">
        <w:rPr>
          <w:rFonts w:ascii="Times New Roman" w:hAnsi="Times New Roman" w:cs="Times New Roman"/>
        </w:rPr>
        <w:t>como, por ejemplo,</w:t>
      </w:r>
      <w:r w:rsidR="00D114E0" w:rsidRPr="00B9411D">
        <w:rPr>
          <w:rFonts w:ascii="Times New Roman" w:hAnsi="Times New Roman" w:cs="Times New Roman"/>
        </w:rPr>
        <w:t xml:space="preserve"> </w:t>
      </w:r>
      <w:r w:rsidR="00084808">
        <w:rPr>
          <w:rFonts w:ascii="Times New Roman" w:hAnsi="Times New Roman" w:cs="Times New Roman"/>
        </w:rPr>
        <w:t xml:space="preserve">el silencio </w:t>
      </w:r>
      <w:r w:rsidR="009F68C5">
        <w:rPr>
          <w:rFonts w:ascii="Times New Roman" w:hAnsi="Times New Roman" w:cs="Times New Roman"/>
        </w:rPr>
        <w:t>que mantiene</w:t>
      </w:r>
      <w:r w:rsidR="00084808">
        <w:rPr>
          <w:rFonts w:ascii="Times New Roman" w:hAnsi="Times New Roman" w:cs="Times New Roman"/>
        </w:rPr>
        <w:t xml:space="preserve"> Horacio </w:t>
      </w:r>
      <w:r w:rsidR="00084808" w:rsidRPr="00B9411D">
        <w:rPr>
          <w:rFonts w:ascii="Times New Roman" w:hAnsi="Times New Roman" w:cs="Times New Roman"/>
        </w:rPr>
        <w:t>ante los Misterios</w:t>
      </w:r>
      <w:r w:rsidR="00084808">
        <w:rPr>
          <w:rFonts w:ascii="Times New Roman" w:hAnsi="Times New Roman" w:cs="Times New Roman"/>
        </w:rPr>
        <w:t xml:space="preserve"> –</w:t>
      </w:r>
      <w:r w:rsidR="00D114E0" w:rsidRPr="00B9411D">
        <w:rPr>
          <w:rFonts w:ascii="Times New Roman" w:hAnsi="Times New Roman" w:cs="Times New Roman"/>
        </w:rPr>
        <w:t>“Horacio y los poetas que vulgarizan lo mistérico (</w:t>
      </w:r>
      <w:r w:rsidR="00D114E0" w:rsidRPr="00B9411D">
        <w:rPr>
          <w:rFonts w:ascii="Times New Roman" w:hAnsi="Times New Roman" w:cs="Times New Roman"/>
          <w:i/>
        </w:rPr>
        <w:t>carm</w:t>
      </w:r>
      <w:r w:rsidR="00D114E0" w:rsidRPr="00B9411D">
        <w:rPr>
          <w:rFonts w:ascii="Times New Roman" w:hAnsi="Times New Roman" w:cs="Times New Roman"/>
        </w:rPr>
        <w:t>. 3.2)” de Yolanda García (pp. 449 – 456)</w:t>
      </w:r>
      <w:r w:rsidR="00084808" w:rsidRPr="00B9411D">
        <w:rPr>
          <w:rFonts w:ascii="Times New Roman" w:hAnsi="Times New Roman" w:cs="Times New Roman"/>
        </w:rPr>
        <w:t>–</w:t>
      </w:r>
      <w:r w:rsidR="00084808">
        <w:rPr>
          <w:rFonts w:ascii="Times New Roman" w:hAnsi="Times New Roman" w:cs="Times New Roman"/>
        </w:rPr>
        <w:t xml:space="preserve"> </w:t>
      </w:r>
      <w:r w:rsidR="00D114E0" w:rsidRPr="00B9411D">
        <w:rPr>
          <w:rFonts w:ascii="Times New Roman" w:hAnsi="Times New Roman" w:cs="Times New Roman"/>
        </w:rPr>
        <w:t>.</w:t>
      </w:r>
    </w:p>
    <w:p w14:paraId="20C187DE" w14:textId="3645F737" w:rsidR="009D23C2" w:rsidRDefault="00084808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B2D0A">
        <w:rPr>
          <w:rFonts w:ascii="Times New Roman" w:hAnsi="Times New Roman" w:cs="Times New Roman"/>
        </w:rPr>
        <w:t>ero, en cualquier caso, p</w:t>
      </w:r>
      <w:r w:rsidR="00DC372C">
        <w:rPr>
          <w:rFonts w:ascii="Times New Roman" w:hAnsi="Times New Roman" w:cs="Times New Roman"/>
        </w:rPr>
        <w:t>ara convertir estas</w:t>
      </w:r>
      <w:r w:rsidR="00715039">
        <w:rPr>
          <w:rFonts w:ascii="Times New Roman" w:hAnsi="Times New Roman" w:cs="Times New Roman"/>
        </w:rPr>
        <w:t xml:space="preserve"> palabras en literatura </w:t>
      </w:r>
      <w:r w:rsidR="00DC372C">
        <w:rPr>
          <w:rFonts w:ascii="Times New Roman" w:hAnsi="Times New Roman" w:cs="Times New Roman"/>
        </w:rPr>
        <w:t>se</w:t>
      </w:r>
      <w:r w:rsidR="00715039">
        <w:rPr>
          <w:rFonts w:ascii="Times New Roman" w:hAnsi="Times New Roman" w:cs="Times New Roman"/>
        </w:rPr>
        <w:t xml:space="preserve"> </w:t>
      </w:r>
      <w:r w:rsidR="00DC372C">
        <w:rPr>
          <w:rFonts w:ascii="Times New Roman" w:hAnsi="Times New Roman" w:cs="Times New Roman"/>
        </w:rPr>
        <w:t xml:space="preserve">precisa </w:t>
      </w:r>
      <w:r w:rsidR="00715039">
        <w:rPr>
          <w:rFonts w:ascii="Times New Roman" w:hAnsi="Times New Roman" w:cs="Times New Roman"/>
        </w:rPr>
        <w:t>la</w:t>
      </w:r>
      <w:r w:rsidR="00754D67">
        <w:rPr>
          <w:rFonts w:ascii="Times New Roman" w:hAnsi="Times New Roman" w:cs="Times New Roman"/>
        </w:rPr>
        <w:t xml:space="preserve"> retórica, arte</w:t>
      </w:r>
      <w:r w:rsidR="00E72D83">
        <w:rPr>
          <w:rFonts w:ascii="Times New Roman" w:hAnsi="Times New Roman" w:cs="Times New Roman"/>
        </w:rPr>
        <w:t xml:space="preserve"> al</w:t>
      </w:r>
      <w:r w:rsidR="00754D67">
        <w:rPr>
          <w:rFonts w:ascii="Times New Roman" w:hAnsi="Times New Roman" w:cs="Times New Roman"/>
        </w:rPr>
        <w:t xml:space="preserve"> que </w:t>
      </w:r>
      <w:r w:rsidR="00E72D83">
        <w:rPr>
          <w:rFonts w:ascii="Times New Roman" w:hAnsi="Times New Roman" w:cs="Times New Roman"/>
        </w:rPr>
        <w:t>se refiere</w:t>
      </w:r>
      <w:r w:rsidR="00754D67">
        <w:rPr>
          <w:rFonts w:ascii="Times New Roman" w:hAnsi="Times New Roman" w:cs="Times New Roman"/>
        </w:rPr>
        <w:t xml:space="preserve"> </w:t>
      </w:r>
      <w:r w:rsidR="00AA2EA7">
        <w:rPr>
          <w:rFonts w:ascii="Times New Roman" w:hAnsi="Times New Roman" w:cs="Times New Roman"/>
        </w:rPr>
        <w:t xml:space="preserve">Cecilia Medina en </w:t>
      </w:r>
      <w:r w:rsidR="009D23C2" w:rsidRPr="00D114E0">
        <w:rPr>
          <w:rFonts w:ascii="Times New Roman" w:hAnsi="Times New Roman" w:cs="Times New Roman"/>
        </w:rPr>
        <w:t>“El tratamiento de las ﬁguras en la</w:t>
      </w:r>
      <w:r w:rsidR="009D23C2" w:rsidRPr="00541F11">
        <w:rPr>
          <w:rFonts w:ascii="Times New Roman" w:hAnsi="Times New Roman" w:cs="Times New Roman"/>
        </w:rPr>
        <w:t xml:space="preserve"> latinidad tardía como continuación de las principales corrientes doctrinales de la tradición retórica anterior” </w:t>
      </w:r>
      <w:r w:rsidR="00F63E08">
        <w:rPr>
          <w:rFonts w:ascii="Times New Roman" w:hAnsi="Times New Roman" w:cs="Times New Roman"/>
        </w:rPr>
        <w:t xml:space="preserve">(pp. </w:t>
      </w:r>
      <w:r w:rsidR="00F63E08" w:rsidRPr="00F63E08">
        <w:rPr>
          <w:rFonts w:ascii="Times New Roman" w:hAnsi="Times New Roman" w:cs="Times New Roman"/>
        </w:rPr>
        <w:t>489</w:t>
      </w:r>
      <w:r w:rsidR="009C650B" w:rsidRPr="00B9411D">
        <w:rPr>
          <w:rFonts w:ascii="Times New Roman" w:hAnsi="Times New Roman" w:cs="Times New Roman"/>
        </w:rPr>
        <w:t xml:space="preserve"> – </w:t>
      </w:r>
      <w:r w:rsidR="00F63E08" w:rsidRPr="00F63E08">
        <w:rPr>
          <w:rFonts w:ascii="Times New Roman" w:hAnsi="Times New Roman" w:cs="Times New Roman"/>
        </w:rPr>
        <w:t>496</w:t>
      </w:r>
      <w:r w:rsidR="00754D67">
        <w:rPr>
          <w:rFonts w:ascii="Times New Roman" w:hAnsi="Times New Roman" w:cs="Times New Roman"/>
        </w:rPr>
        <w:t>).</w:t>
      </w:r>
    </w:p>
    <w:p w14:paraId="11884F0E" w14:textId="4B350C41" w:rsidR="00507786" w:rsidRDefault="0063656B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último,</w:t>
      </w:r>
      <w:r w:rsidR="008A29BD" w:rsidRPr="00541F11">
        <w:rPr>
          <w:rFonts w:ascii="Times New Roman" w:hAnsi="Times New Roman" w:cs="Times New Roman"/>
        </w:rPr>
        <w:t xml:space="preserve"> </w:t>
      </w:r>
      <w:r w:rsidR="00AA2EA7">
        <w:rPr>
          <w:rFonts w:ascii="Times New Roman" w:hAnsi="Times New Roman" w:cs="Times New Roman"/>
        </w:rPr>
        <w:t xml:space="preserve">también hay lugar para la crítica textual </w:t>
      </w:r>
      <w:r w:rsidR="002F06E0">
        <w:rPr>
          <w:rFonts w:ascii="Times New Roman" w:hAnsi="Times New Roman" w:cs="Times New Roman"/>
        </w:rPr>
        <w:t>en</w:t>
      </w:r>
      <w:r w:rsidR="00AA2EA7">
        <w:rPr>
          <w:rFonts w:ascii="Times New Roman" w:hAnsi="Times New Roman" w:cs="Times New Roman"/>
        </w:rPr>
        <w:t xml:space="preserve"> </w:t>
      </w:r>
      <w:r w:rsidR="001D6F7B">
        <w:rPr>
          <w:rFonts w:ascii="Times New Roman" w:hAnsi="Times New Roman" w:cs="Times New Roman"/>
        </w:rPr>
        <w:t xml:space="preserve">la comunicación de </w:t>
      </w:r>
      <w:r w:rsidR="008A29BD" w:rsidRPr="00541F11">
        <w:rPr>
          <w:rFonts w:ascii="Times New Roman" w:hAnsi="Times New Roman" w:cs="Times New Roman"/>
        </w:rPr>
        <w:t xml:space="preserve">Gemma Bernadó </w:t>
      </w:r>
      <w:r w:rsidR="009C650B">
        <w:rPr>
          <w:rFonts w:ascii="Times New Roman" w:hAnsi="Times New Roman" w:cs="Times New Roman"/>
        </w:rPr>
        <w:t>(pp. 383</w:t>
      </w:r>
      <w:r w:rsidR="009C650B" w:rsidRPr="00B9411D">
        <w:rPr>
          <w:rFonts w:ascii="Times New Roman" w:hAnsi="Times New Roman" w:cs="Times New Roman"/>
        </w:rPr>
        <w:t xml:space="preserve"> – </w:t>
      </w:r>
      <w:r w:rsidR="009C650B">
        <w:rPr>
          <w:rFonts w:ascii="Times New Roman" w:hAnsi="Times New Roman" w:cs="Times New Roman"/>
        </w:rPr>
        <w:t>390)</w:t>
      </w:r>
      <w:r w:rsidR="001D6F7B">
        <w:rPr>
          <w:rFonts w:ascii="Times New Roman" w:hAnsi="Times New Roman" w:cs="Times New Roman"/>
        </w:rPr>
        <w:t>, que</w:t>
      </w:r>
      <w:r w:rsidR="008A29BD" w:rsidRPr="00541F11">
        <w:rPr>
          <w:rFonts w:ascii="Times New Roman" w:hAnsi="Times New Roman" w:cs="Times New Roman"/>
        </w:rPr>
        <w:t xml:space="preserve"> </w:t>
      </w:r>
      <w:r w:rsidR="00E72D83">
        <w:rPr>
          <w:rFonts w:ascii="Times New Roman" w:hAnsi="Times New Roman" w:cs="Times New Roman"/>
        </w:rPr>
        <w:t>propone</w:t>
      </w:r>
      <w:r w:rsidR="008A29BD" w:rsidRPr="00541F11">
        <w:rPr>
          <w:rFonts w:ascii="Times New Roman" w:hAnsi="Times New Roman" w:cs="Times New Roman"/>
        </w:rPr>
        <w:t xml:space="preserve"> en “Sobre la necesidad de una edición crítica de las </w:t>
      </w:r>
      <w:r w:rsidR="008A29BD" w:rsidRPr="00DC372C">
        <w:rPr>
          <w:rFonts w:ascii="Times New Roman" w:hAnsi="Times New Roman" w:cs="Times New Roman"/>
          <w:i/>
        </w:rPr>
        <w:t>subscriptiones</w:t>
      </w:r>
      <w:r w:rsidR="008A29BD" w:rsidRPr="00541F11">
        <w:rPr>
          <w:rFonts w:ascii="Times New Roman" w:hAnsi="Times New Roman" w:cs="Times New Roman"/>
        </w:rPr>
        <w:t xml:space="preserve"> en los manuscritos clásicos latinos” una reconsideración de </w:t>
      </w:r>
      <w:r w:rsidR="002A2473">
        <w:rPr>
          <w:rFonts w:ascii="Times New Roman" w:hAnsi="Times New Roman" w:cs="Times New Roman"/>
        </w:rPr>
        <w:t>sus</w:t>
      </w:r>
      <w:r w:rsidR="008A29BD" w:rsidRPr="00541F11">
        <w:rPr>
          <w:rFonts w:ascii="Times New Roman" w:hAnsi="Times New Roman" w:cs="Times New Roman"/>
        </w:rPr>
        <w:t xml:space="preserve"> criterios </w:t>
      </w:r>
      <w:r w:rsidR="002A2473">
        <w:rPr>
          <w:rFonts w:ascii="Times New Roman" w:hAnsi="Times New Roman" w:cs="Times New Roman"/>
        </w:rPr>
        <w:t xml:space="preserve">definitorios </w:t>
      </w:r>
      <w:r w:rsidR="00F63E08">
        <w:rPr>
          <w:rFonts w:ascii="Times New Roman" w:hAnsi="Times New Roman" w:cs="Times New Roman"/>
        </w:rPr>
        <w:t>y</w:t>
      </w:r>
      <w:r w:rsidR="002A2473">
        <w:rPr>
          <w:rFonts w:ascii="Times New Roman" w:hAnsi="Times New Roman" w:cs="Times New Roman"/>
        </w:rPr>
        <w:t xml:space="preserve"> una </w:t>
      </w:r>
      <w:r w:rsidR="00DC372C">
        <w:rPr>
          <w:rFonts w:ascii="Times New Roman" w:hAnsi="Times New Roman" w:cs="Times New Roman"/>
        </w:rPr>
        <w:t xml:space="preserve">nueva </w:t>
      </w:r>
      <w:r w:rsidR="002A2473">
        <w:rPr>
          <w:rFonts w:ascii="Times New Roman" w:hAnsi="Times New Roman" w:cs="Times New Roman"/>
        </w:rPr>
        <w:t xml:space="preserve">metodología para </w:t>
      </w:r>
      <w:r w:rsidR="008A29BD" w:rsidRPr="00541F11">
        <w:rPr>
          <w:rFonts w:ascii="Times New Roman" w:hAnsi="Times New Roman" w:cs="Times New Roman"/>
        </w:rPr>
        <w:t>tratarlas con mayor atención.</w:t>
      </w:r>
    </w:p>
    <w:p w14:paraId="02E1D27D" w14:textId="7AD7EB94" w:rsidR="00BA772C" w:rsidRDefault="00BA772C" w:rsidP="002F06E0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 </w:t>
      </w:r>
      <w:r w:rsidR="000312DE">
        <w:rPr>
          <w:rFonts w:ascii="Times New Roman" w:hAnsi="Times New Roman" w:cs="Times New Roman"/>
        </w:rPr>
        <w:t>suma</w:t>
      </w:r>
      <w:r>
        <w:rPr>
          <w:rFonts w:ascii="Times New Roman" w:hAnsi="Times New Roman" w:cs="Times New Roman"/>
        </w:rPr>
        <w:t>,</w:t>
      </w:r>
      <w:r w:rsidR="00852DF2">
        <w:rPr>
          <w:rFonts w:ascii="Times New Roman" w:hAnsi="Times New Roman" w:cs="Times New Roman"/>
        </w:rPr>
        <w:t xml:space="preserve"> </w:t>
      </w:r>
      <w:r w:rsidR="000312DE">
        <w:rPr>
          <w:rFonts w:ascii="Times New Roman" w:hAnsi="Times New Roman" w:cs="Times New Roman"/>
        </w:rPr>
        <w:t>este</w:t>
      </w:r>
      <w:r w:rsidR="00852DF2">
        <w:rPr>
          <w:rFonts w:ascii="Times New Roman" w:hAnsi="Times New Roman" w:cs="Times New Roman"/>
        </w:rPr>
        <w:t xml:space="preserve"> apartado </w:t>
      </w:r>
      <w:r w:rsidR="009C650B">
        <w:rPr>
          <w:rFonts w:ascii="Times New Roman" w:hAnsi="Times New Roman" w:cs="Times New Roman"/>
        </w:rPr>
        <w:t xml:space="preserve">de </w:t>
      </w:r>
      <w:r w:rsidR="009C650B" w:rsidRPr="009C650B">
        <w:rPr>
          <w:rFonts w:ascii="Times New Roman" w:hAnsi="Times New Roman" w:cs="Times New Roman"/>
          <w:i/>
        </w:rPr>
        <w:t>Ianua Classicorum</w:t>
      </w:r>
      <w:r w:rsidR="00852DF2">
        <w:rPr>
          <w:rFonts w:ascii="Times New Roman" w:hAnsi="Times New Roman" w:cs="Times New Roman"/>
        </w:rPr>
        <w:t xml:space="preserve"> </w:t>
      </w:r>
      <w:r w:rsidR="00872FD7">
        <w:rPr>
          <w:rFonts w:ascii="Times New Roman" w:hAnsi="Times New Roman" w:cs="Times New Roman"/>
        </w:rPr>
        <w:t xml:space="preserve">recoge </w:t>
      </w:r>
      <w:r w:rsidR="00263534">
        <w:rPr>
          <w:rFonts w:ascii="Times New Roman" w:hAnsi="Times New Roman" w:cs="Times New Roman"/>
        </w:rPr>
        <w:t>numerosos</w:t>
      </w:r>
      <w:r w:rsidR="00852DF2">
        <w:rPr>
          <w:rFonts w:ascii="Times New Roman" w:hAnsi="Times New Roman" w:cs="Times New Roman"/>
        </w:rPr>
        <w:t xml:space="preserve"> </w:t>
      </w:r>
      <w:r w:rsidR="009C60EA">
        <w:rPr>
          <w:rFonts w:ascii="Times New Roman" w:hAnsi="Times New Roman" w:cs="Times New Roman"/>
        </w:rPr>
        <w:t xml:space="preserve">estudios </w:t>
      </w:r>
      <w:r w:rsidR="007B2D0A">
        <w:rPr>
          <w:rFonts w:ascii="Times New Roman" w:hAnsi="Times New Roman" w:cs="Times New Roman"/>
        </w:rPr>
        <w:t xml:space="preserve">de interés </w:t>
      </w:r>
      <w:r w:rsidR="009C60EA">
        <w:rPr>
          <w:rFonts w:ascii="Times New Roman" w:hAnsi="Times New Roman" w:cs="Times New Roman"/>
        </w:rPr>
        <w:t xml:space="preserve">sobre </w:t>
      </w:r>
      <w:r w:rsidR="00692ABC">
        <w:rPr>
          <w:rFonts w:ascii="Times New Roman" w:hAnsi="Times New Roman" w:cs="Times New Roman"/>
        </w:rPr>
        <w:t xml:space="preserve">diversos </w:t>
      </w:r>
      <w:r w:rsidR="0065554D">
        <w:rPr>
          <w:rFonts w:ascii="Times New Roman" w:hAnsi="Times New Roman" w:cs="Times New Roman"/>
        </w:rPr>
        <w:t>temas</w:t>
      </w:r>
      <w:r w:rsidR="004E02D0">
        <w:rPr>
          <w:rFonts w:ascii="Times New Roman" w:hAnsi="Times New Roman" w:cs="Times New Roman"/>
        </w:rPr>
        <w:t xml:space="preserve"> </w:t>
      </w:r>
      <w:r w:rsidR="00536F6E">
        <w:rPr>
          <w:rFonts w:ascii="Times New Roman" w:hAnsi="Times New Roman" w:cs="Times New Roman"/>
        </w:rPr>
        <w:t xml:space="preserve">que giran </w:t>
      </w:r>
      <w:r w:rsidR="001D6F7B">
        <w:rPr>
          <w:rFonts w:ascii="Times New Roman" w:hAnsi="Times New Roman" w:cs="Times New Roman"/>
        </w:rPr>
        <w:t xml:space="preserve">en torno </w:t>
      </w:r>
      <w:r w:rsidR="002A2473">
        <w:rPr>
          <w:rFonts w:ascii="Times New Roman" w:hAnsi="Times New Roman" w:cs="Times New Roman"/>
        </w:rPr>
        <w:t xml:space="preserve">al </w:t>
      </w:r>
      <w:r w:rsidR="00771705">
        <w:rPr>
          <w:rFonts w:ascii="Times New Roman" w:hAnsi="Times New Roman" w:cs="Times New Roman"/>
        </w:rPr>
        <w:t xml:space="preserve">inagotable </w:t>
      </w:r>
      <w:r w:rsidR="002A2473">
        <w:rPr>
          <w:rFonts w:ascii="Times New Roman" w:hAnsi="Times New Roman" w:cs="Times New Roman"/>
        </w:rPr>
        <w:t>legado literario latino</w:t>
      </w:r>
      <w:r w:rsidR="004E02D0">
        <w:rPr>
          <w:rFonts w:ascii="Times New Roman" w:hAnsi="Times New Roman" w:cs="Times New Roman"/>
        </w:rPr>
        <w:t>, siempre susceptible de nuevas lecturas</w:t>
      </w:r>
      <w:r w:rsidR="001D54FA">
        <w:rPr>
          <w:rFonts w:ascii="Times New Roman" w:hAnsi="Times New Roman" w:cs="Times New Roman"/>
        </w:rPr>
        <w:t>, análisis</w:t>
      </w:r>
      <w:r w:rsidR="004E02D0">
        <w:rPr>
          <w:rFonts w:ascii="Times New Roman" w:hAnsi="Times New Roman" w:cs="Times New Roman"/>
        </w:rPr>
        <w:t xml:space="preserve"> e interpretaciones.</w:t>
      </w:r>
      <w:r w:rsidR="007B2D0A">
        <w:rPr>
          <w:rFonts w:ascii="Times New Roman" w:hAnsi="Times New Roman" w:cs="Times New Roman"/>
        </w:rPr>
        <w:t xml:space="preserve"> </w:t>
      </w:r>
    </w:p>
    <w:p w14:paraId="237316B1" w14:textId="77777777" w:rsidR="00AA2EA7" w:rsidRDefault="00AA2EA7" w:rsidP="002F06E0">
      <w:pPr>
        <w:spacing w:line="312" w:lineRule="auto"/>
        <w:ind w:firstLine="709"/>
        <w:jc w:val="both"/>
        <w:rPr>
          <w:rFonts w:ascii="Times New Roman" w:hAnsi="Times New Roman" w:cs="Times New Roman"/>
          <w:smallCaps/>
        </w:rPr>
      </w:pPr>
    </w:p>
    <w:p w14:paraId="3A43D82D" w14:textId="77777777" w:rsidR="00D02AFA" w:rsidRPr="00EB081F" w:rsidRDefault="00D02AFA" w:rsidP="002F06E0">
      <w:pPr>
        <w:spacing w:line="312" w:lineRule="auto"/>
        <w:ind w:firstLine="709"/>
        <w:jc w:val="both"/>
        <w:rPr>
          <w:rFonts w:ascii="Times New Roman" w:hAnsi="Times New Roman" w:cs="Times New Roman"/>
          <w:smallCaps/>
        </w:rPr>
      </w:pPr>
      <w:r w:rsidRPr="00EB081F">
        <w:rPr>
          <w:rFonts w:ascii="Times New Roman" w:hAnsi="Times New Roman" w:cs="Times New Roman"/>
          <w:smallCaps/>
        </w:rPr>
        <w:t>Cristina Tur Altarriba</w:t>
      </w:r>
    </w:p>
    <w:p w14:paraId="57C8F6DC" w14:textId="77777777" w:rsidR="00D02AFA" w:rsidRPr="00EB081F" w:rsidRDefault="00D02AFA" w:rsidP="002F06E0">
      <w:pPr>
        <w:spacing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EB081F">
        <w:rPr>
          <w:rFonts w:ascii="Times New Roman" w:hAnsi="Times New Roman" w:cs="Times New Roman"/>
          <w:i/>
        </w:rPr>
        <w:t>Universidad Autónoma de Madrid</w:t>
      </w:r>
    </w:p>
    <w:sectPr w:rsidR="00D02AFA" w:rsidRPr="00EB081F" w:rsidSect="00713C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CFE8" w14:textId="77777777" w:rsidR="00680531" w:rsidRDefault="00680531" w:rsidP="00D02AFA">
      <w:pPr>
        <w:spacing w:after="0" w:line="240" w:lineRule="auto"/>
      </w:pPr>
      <w:r>
        <w:separator/>
      </w:r>
    </w:p>
  </w:endnote>
  <w:endnote w:type="continuationSeparator" w:id="0">
    <w:p w14:paraId="5D7328BC" w14:textId="77777777" w:rsidR="00680531" w:rsidRDefault="00680531" w:rsidP="00D0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F3327" w14:textId="77777777" w:rsidR="00680531" w:rsidRDefault="00680531" w:rsidP="00D02AFA">
      <w:pPr>
        <w:spacing w:after="0" w:line="240" w:lineRule="auto"/>
      </w:pPr>
      <w:r>
        <w:separator/>
      </w:r>
    </w:p>
  </w:footnote>
  <w:footnote w:type="continuationSeparator" w:id="0">
    <w:p w14:paraId="2100BBA9" w14:textId="77777777" w:rsidR="00680531" w:rsidRDefault="00680531" w:rsidP="00D02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D"/>
    <w:rsid w:val="000312DE"/>
    <w:rsid w:val="000801C2"/>
    <w:rsid w:val="00084808"/>
    <w:rsid w:val="000C1442"/>
    <w:rsid w:val="00103BE6"/>
    <w:rsid w:val="00106AD0"/>
    <w:rsid w:val="0012108F"/>
    <w:rsid w:val="00144DF3"/>
    <w:rsid w:val="00171003"/>
    <w:rsid w:val="001967E9"/>
    <w:rsid w:val="00196D2D"/>
    <w:rsid w:val="001B2AC2"/>
    <w:rsid w:val="001D54FA"/>
    <w:rsid w:val="001D6F7B"/>
    <w:rsid w:val="001E544F"/>
    <w:rsid w:val="001F6349"/>
    <w:rsid w:val="00206FC2"/>
    <w:rsid w:val="00225604"/>
    <w:rsid w:val="00247ACF"/>
    <w:rsid w:val="00263534"/>
    <w:rsid w:val="002A2473"/>
    <w:rsid w:val="002A2CCA"/>
    <w:rsid w:val="002B06EE"/>
    <w:rsid w:val="002F06E0"/>
    <w:rsid w:val="00335A4A"/>
    <w:rsid w:val="003634A3"/>
    <w:rsid w:val="00396E17"/>
    <w:rsid w:val="003A0960"/>
    <w:rsid w:val="003D7B13"/>
    <w:rsid w:val="003E351A"/>
    <w:rsid w:val="003F0586"/>
    <w:rsid w:val="003F0799"/>
    <w:rsid w:val="00411467"/>
    <w:rsid w:val="00421B5B"/>
    <w:rsid w:val="0042500B"/>
    <w:rsid w:val="00425CDB"/>
    <w:rsid w:val="00427B13"/>
    <w:rsid w:val="0044568D"/>
    <w:rsid w:val="00446127"/>
    <w:rsid w:val="00467F23"/>
    <w:rsid w:val="004B651B"/>
    <w:rsid w:val="004C55DC"/>
    <w:rsid w:val="004E02D0"/>
    <w:rsid w:val="004F3CDF"/>
    <w:rsid w:val="004F58BF"/>
    <w:rsid w:val="005043A3"/>
    <w:rsid w:val="00507786"/>
    <w:rsid w:val="00536F6E"/>
    <w:rsid w:val="00541F11"/>
    <w:rsid w:val="00563880"/>
    <w:rsid w:val="005D2E48"/>
    <w:rsid w:val="005E2D88"/>
    <w:rsid w:val="005F066C"/>
    <w:rsid w:val="005F7A0C"/>
    <w:rsid w:val="006125C7"/>
    <w:rsid w:val="00620F28"/>
    <w:rsid w:val="00623F0E"/>
    <w:rsid w:val="00632144"/>
    <w:rsid w:val="0063656B"/>
    <w:rsid w:val="00644197"/>
    <w:rsid w:val="006524A9"/>
    <w:rsid w:val="0065554D"/>
    <w:rsid w:val="00663D89"/>
    <w:rsid w:val="00680531"/>
    <w:rsid w:val="00685F45"/>
    <w:rsid w:val="00687701"/>
    <w:rsid w:val="00692ABC"/>
    <w:rsid w:val="006A0CCA"/>
    <w:rsid w:val="006A3C70"/>
    <w:rsid w:val="006B515B"/>
    <w:rsid w:val="006E521D"/>
    <w:rsid w:val="006F2DF2"/>
    <w:rsid w:val="006F63E5"/>
    <w:rsid w:val="00707383"/>
    <w:rsid w:val="00713C93"/>
    <w:rsid w:val="00714851"/>
    <w:rsid w:val="00715039"/>
    <w:rsid w:val="00732B8F"/>
    <w:rsid w:val="00754D67"/>
    <w:rsid w:val="00771705"/>
    <w:rsid w:val="007B2D0A"/>
    <w:rsid w:val="007B69C3"/>
    <w:rsid w:val="007D09A3"/>
    <w:rsid w:val="007D0A01"/>
    <w:rsid w:val="00825F3C"/>
    <w:rsid w:val="00830663"/>
    <w:rsid w:val="00844A97"/>
    <w:rsid w:val="00852DF2"/>
    <w:rsid w:val="00872FD7"/>
    <w:rsid w:val="008A29BD"/>
    <w:rsid w:val="008A7C2A"/>
    <w:rsid w:val="008C6A52"/>
    <w:rsid w:val="008E302C"/>
    <w:rsid w:val="008E30E7"/>
    <w:rsid w:val="00904E15"/>
    <w:rsid w:val="00921A9A"/>
    <w:rsid w:val="00923BBD"/>
    <w:rsid w:val="00951379"/>
    <w:rsid w:val="00973530"/>
    <w:rsid w:val="009744AD"/>
    <w:rsid w:val="00993E99"/>
    <w:rsid w:val="009B0A63"/>
    <w:rsid w:val="009C60EA"/>
    <w:rsid w:val="009C650B"/>
    <w:rsid w:val="009D23C2"/>
    <w:rsid w:val="009D3AC5"/>
    <w:rsid w:val="009E5C6D"/>
    <w:rsid w:val="009F68C5"/>
    <w:rsid w:val="00A02E28"/>
    <w:rsid w:val="00A107CE"/>
    <w:rsid w:val="00A144E6"/>
    <w:rsid w:val="00A15FF5"/>
    <w:rsid w:val="00A20F85"/>
    <w:rsid w:val="00A329D6"/>
    <w:rsid w:val="00A4599E"/>
    <w:rsid w:val="00A45AAC"/>
    <w:rsid w:val="00A463E3"/>
    <w:rsid w:val="00AA1ED9"/>
    <w:rsid w:val="00AA2BB0"/>
    <w:rsid w:val="00AA2EA7"/>
    <w:rsid w:val="00AB0724"/>
    <w:rsid w:val="00AB1874"/>
    <w:rsid w:val="00AC5F30"/>
    <w:rsid w:val="00AD2DE2"/>
    <w:rsid w:val="00AD729E"/>
    <w:rsid w:val="00AE10F5"/>
    <w:rsid w:val="00AF30F0"/>
    <w:rsid w:val="00B10F3E"/>
    <w:rsid w:val="00B24B7D"/>
    <w:rsid w:val="00B8081D"/>
    <w:rsid w:val="00B9411D"/>
    <w:rsid w:val="00BA772C"/>
    <w:rsid w:val="00BE5ECE"/>
    <w:rsid w:val="00C018D3"/>
    <w:rsid w:val="00C159FB"/>
    <w:rsid w:val="00C34DDA"/>
    <w:rsid w:val="00C36CAF"/>
    <w:rsid w:val="00CA7AAB"/>
    <w:rsid w:val="00CE2F52"/>
    <w:rsid w:val="00D02AFA"/>
    <w:rsid w:val="00D114E0"/>
    <w:rsid w:val="00D44206"/>
    <w:rsid w:val="00D47594"/>
    <w:rsid w:val="00D600F6"/>
    <w:rsid w:val="00D745A6"/>
    <w:rsid w:val="00D9348E"/>
    <w:rsid w:val="00DC372C"/>
    <w:rsid w:val="00DF1AA1"/>
    <w:rsid w:val="00E05878"/>
    <w:rsid w:val="00E14B75"/>
    <w:rsid w:val="00E20634"/>
    <w:rsid w:val="00E366A7"/>
    <w:rsid w:val="00E36D87"/>
    <w:rsid w:val="00E61890"/>
    <w:rsid w:val="00E72D83"/>
    <w:rsid w:val="00E96CEA"/>
    <w:rsid w:val="00EB081F"/>
    <w:rsid w:val="00EC5B46"/>
    <w:rsid w:val="00ED742D"/>
    <w:rsid w:val="00EF3C54"/>
    <w:rsid w:val="00F03780"/>
    <w:rsid w:val="00F1625F"/>
    <w:rsid w:val="00F16D4F"/>
    <w:rsid w:val="00F26828"/>
    <w:rsid w:val="00F32EE2"/>
    <w:rsid w:val="00F63E08"/>
    <w:rsid w:val="00F7071C"/>
    <w:rsid w:val="00F7669F"/>
    <w:rsid w:val="00F80D19"/>
    <w:rsid w:val="00F87807"/>
    <w:rsid w:val="00F958C1"/>
    <w:rsid w:val="00FD355C"/>
    <w:rsid w:val="00FD6F56"/>
    <w:rsid w:val="00FD791A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1C2EA"/>
  <w14:defaultImageDpi w14:val="300"/>
  <w15:docId w15:val="{21E147A3-ECA8-4118-9A17-F4FA2F4A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AD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744A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44A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44AD"/>
    <w:rPr>
      <w:rFonts w:eastAsiaTheme="minorHAns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4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4AD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8780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2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AFA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02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AFA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Jesus.delaVilla</cp:lastModifiedBy>
  <cp:revision>2</cp:revision>
  <dcterms:created xsi:type="dcterms:W3CDTF">2016-04-04T18:43:00Z</dcterms:created>
  <dcterms:modified xsi:type="dcterms:W3CDTF">2016-04-04T18:43:00Z</dcterms:modified>
</cp:coreProperties>
</file>