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A84C" w14:textId="7D031245" w:rsidR="001D2F5D" w:rsidRDefault="001D2F5D" w:rsidP="00F93964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11">
        <w:rPr>
          <w:rFonts w:ascii="Times New Roman" w:hAnsi="Times New Roman" w:cs="Times New Roman"/>
          <w:b/>
          <w:i/>
          <w:sz w:val="24"/>
          <w:szCs w:val="24"/>
        </w:rPr>
        <w:t>Ianua Classicorum. Temas y formas del Mundo Clásico</w:t>
      </w:r>
      <w:r w:rsidRPr="00541F11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1F1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pp. 467 – 808</w:t>
      </w:r>
    </w:p>
    <w:p w14:paraId="79E0E430" w14:textId="202D52AF" w:rsidR="00F93964" w:rsidRPr="00541F11" w:rsidRDefault="00F93964" w:rsidP="00F93964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Ponencia, plenaria invitada y comunicaciones de Tradición Clásica. </w:t>
      </w:r>
    </w:p>
    <w:p w14:paraId="21C2F8FD" w14:textId="3D69D892" w:rsidR="001D2F5D" w:rsidRDefault="001D2F5D" w:rsidP="00F93964">
      <w:pPr>
        <w:spacing w:line="312" w:lineRule="auto"/>
        <w:rPr>
          <w:rFonts w:ascii="Times New Roman" w:hAnsi="Times New Roman" w:cs="Times New Roman"/>
        </w:rPr>
      </w:pPr>
    </w:p>
    <w:p w14:paraId="273F4F27" w14:textId="2A7302F8" w:rsidR="0072687C" w:rsidRDefault="00D37F46" w:rsidP="00726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</w:t>
      </w:r>
      <w:r w:rsidR="00F93964">
        <w:rPr>
          <w:rFonts w:ascii="Times New Roman" w:hAnsi="Times New Roman" w:cs="Times New Roman"/>
          <w:sz w:val="24"/>
        </w:rPr>
        <w:t xml:space="preserve"> los tres volúmenes</w:t>
      </w:r>
      <w:r w:rsidR="004E309E">
        <w:rPr>
          <w:rFonts w:ascii="Times New Roman" w:hAnsi="Times New Roman" w:cs="Times New Roman"/>
          <w:sz w:val="24"/>
        </w:rPr>
        <w:t xml:space="preserve"> </w:t>
      </w:r>
      <w:r w:rsidR="004E309E">
        <w:rPr>
          <w:rFonts w:ascii="Times New Roman" w:hAnsi="Times New Roman" w:cs="Times New Roman"/>
          <w:i/>
          <w:sz w:val="24"/>
        </w:rPr>
        <w:t xml:space="preserve">Ianua Classicorum </w:t>
      </w:r>
      <w:r w:rsidR="004E309E">
        <w:rPr>
          <w:rFonts w:ascii="Times New Roman" w:hAnsi="Times New Roman" w:cs="Times New Roman"/>
          <w:sz w:val="24"/>
        </w:rPr>
        <w:t xml:space="preserve">se reúnen las contribuciones de los asistentes </w:t>
      </w:r>
      <w:r w:rsidR="002E59D4">
        <w:rPr>
          <w:rFonts w:ascii="Times New Roman" w:hAnsi="Times New Roman" w:cs="Times New Roman"/>
          <w:sz w:val="24"/>
        </w:rPr>
        <w:t>a</w:t>
      </w:r>
      <w:r w:rsidR="004E309E">
        <w:rPr>
          <w:rFonts w:ascii="Times New Roman" w:hAnsi="Times New Roman" w:cs="Times New Roman"/>
          <w:sz w:val="24"/>
        </w:rPr>
        <w:t>l XIII Congreso Español de Estudios Clásicos celebrado en La Rioja en 2011. En el apartado dedicado a la Tradición Clásica, se hace especialmente patente</w:t>
      </w:r>
      <w:r w:rsidR="00E36D26">
        <w:rPr>
          <w:rFonts w:ascii="Times New Roman" w:hAnsi="Times New Roman" w:cs="Times New Roman"/>
          <w:sz w:val="24"/>
        </w:rPr>
        <w:t xml:space="preserve"> que</w:t>
      </w:r>
      <w:r w:rsidR="004E309E">
        <w:rPr>
          <w:rFonts w:ascii="Times New Roman" w:hAnsi="Times New Roman" w:cs="Times New Roman"/>
          <w:sz w:val="24"/>
        </w:rPr>
        <w:t xml:space="preserve"> el legado clásico está más vivo que nunca.</w:t>
      </w:r>
    </w:p>
    <w:p w14:paraId="42CC4AB5" w14:textId="77777777" w:rsidR="004E309E" w:rsidRDefault="004E309E" w:rsidP="00726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volumen comienza recogiendo la ponencia del profesor Juan Antonio López Férez que, con el nombre de «Mitos y nombres míticos clásicos en la </w:t>
      </w:r>
      <w:r>
        <w:rPr>
          <w:rFonts w:ascii="Times New Roman" w:hAnsi="Times New Roman" w:cs="Times New Roman"/>
          <w:i/>
          <w:sz w:val="24"/>
        </w:rPr>
        <w:t xml:space="preserve">General Estoria </w:t>
      </w:r>
      <w:r>
        <w:rPr>
          <w:rFonts w:ascii="Times New Roman" w:hAnsi="Times New Roman" w:cs="Times New Roman"/>
          <w:sz w:val="24"/>
        </w:rPr>
        <w:t>de Alfonso X (primera y segunda partes)»</w:t>
      </w:r>
      <w:r w:rsidR="0079374F">
        <w:rPr>
          <w:rFonts w:ascii="Times New Roman" w:hAnsi="Times New Roman" w:cs="Times New Roman"/>
          <w:sz w:val="24"/>
        </w:rPr>
        <w:t xml:space="preserve"> (pp. 469-526</w:t>
      </w:r>
      <w:r w:rsidR="002572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se encarga de recopilar y analizar los referentes clásicos en esta obra del siglo XIII, que se configura como todo un recorrido por elementos clave de la Antigüedad</w:t>
      </w:r>
      <w:r w:rsidR="002572BB">
        <w:rPr>
          <w:rFonts w:ascii="Times New Roman" w:hAnsi="Times New Roman" w:cs="Times New Roman"/>
          <w:sz w:val="24"/>
        </w:rPr>
        <w:t>. A continuación, se recoge la contribución de la sesión plenaria de la mano de Elina Miranda Cancela</w:t>
      </w:r>
      <w:r w:rsidR="00E91D1B">
        <w:rPr>
          <w:rFonts w:ascii="Times New Roman" w:hAnsi="Times New Roman" w:cs="Times New Roman"/>
          <w:sz w:val="24"/>
        </w:rPr>
        <w:t xml:space="preserve"> quien, con «Antígo</w:t>
      </w:r>
      <w:r w:rsidR="00857A64">
        <w:rPr>
          <w:rFonts w:ascii="Times New Roman" w:hAnsi="Times New Roman" w:cs="Times New Roman"/>
          <w:sz w:val="24"/>
        </w:rPr>
        <w:t>na en las Antillas» (pp. 529</w:t>
      </w:r>
      <w:r w:rsidR="00416D1D">
        <w:rPr>
          <w:rFonts w:ascii="Times New Roman" w:hAnsi="Times New Roman" w:cs="Times New Roman"/>
          <w:sz w:val="24"/>
        </w:rPr>
        <w:t>-540</w:t>
      </w:r>
      <w:r w:rsidR="00E91D1B">
        <w:rPr>
          <w:rFonts w:ascii="Times New Roman" w:hAnsi="Times New Roman" w:cs="Times New Roman"/>
          <w:sz w:val="24"/>
        </w:rPr>
        <w:t xml:space="preserve">), propone un recorrido </w:t>
      </w:r>
      <w:r w:rsidR="007B790F">
        <w:rPr>
          <w:rFonts w:ascii="Times New Roman" w:hAnsi="Times New Roman" w:cs="Times New Roman"/>
          <w:sz w:val="24"/>
        </w:rPr>
        <w:t>y estudio de la tradición de la obra de Sófocles en San</w:t>
      </w:r>
      <w:r w:rsidR="00FB4096">
        <w:rPr>
          <w:rFonts w:ascii="Times New Roman" w:hAnsi="Times New Roman" w:cs="Times New Roman"/>
          <w:sz w:val="24"/>
        </w:rPr>
        <w:t>to Domingo, Puerto Rico y Cuba</w:t>
      </w:r>
      <w:r w:rsidR="00546A9E">
        <w:rPr>
          <w:rFonts w:ascii="Times New Roman" w:hAnsi="Times New Roman" w:cs="Times New Roman"/>
          <w:sz w:val="24"/>
        </w:rPr>
        <w:t xml:space="preserve"> de la mano de Franklyn Domínguez, Luis Rafael Sánchez y </w:t>
      </w:r>
      <w:r w:rsidR="00A0157B">
        <w:rPr>
          <w:rFonts w:ascii="Times New Roman" w:hAnsi="Times New Roman" w:cs="Times New Roman"/>
          <w:sz w:val="24"/>
        </w:rPr>
        <w:t xml:space="preserve">Joel Sáez respectivamente. </w:t>
      </w:r>
    </w:p>
    <w:p w14:paraId="325ADCCB" w14:textId="14F7F6C8" w:rsidR="00A86B52" w:rsidRDefault="00404D31" w:rsidP="00726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Agruparemos las comunicaciones según los siglos a los que corresponden.</w:t>
      </w:r>
      <w:r w:rsidR="00634554">
        <w:rPr>
          <w:rFonts w:ascii="Times New Roman" w:hAnsi="Times New Roman" w:cs="Times New Roman"/>
          <w:sz w:val="24"/>
        </w:rPr>
        <w:t xml:space="preserve"> </w:t>
      </w:r>
      <w:r w:rsidR="00876538">
        <w:rPr>
          <w:rFonts w:ascii="Times New Roman" w:hAnsi="Times New Roman" w:cs="Times New Roman"/>
          <w:sz w:val="24"/>
        </w:rPr>
        <w:t>Así, en lo que se refiere a la Edad Media</w:t>
      </w:r>
      <w:r w:rsidR="00416D1D">
        <w:rPr>
          <w:rFonts w:ascii="Times New Roman" w:hAnsi="Times New Roman" w:cs="Times New Roman"/>
          <w:sz w:val="24"/>
        </w:rPr>
        <w:t>,</w:t>
      </w:r>
      <w:r w:rsidR="00EC185B">
        <w:rPr>
          <w:rFonts w:ascii="Times New Roman" w:hAnsi="Times New Roman" w:cs="Times New Roman"/>
          <w:sz w:val="24"/>
        </w:rPr>
        <w:t xml:space="preserve"> tenemos a</w:t>
      </w:r>
      <w:r w:rsidR="00416D1D">
        <w:rPr>
          <w:rFonts w:ascii="Times New Roman" w:hAnsi="Times New Roman" w:cs="Times New Roman"/>
          <w:sz w:val="24"/>
        </w:rPr>
        <w:t xml:space="preserve"> </w:t>
      </w:r>
      <w:r w:rsidR="00A86B52">
        <w:rPr>
          <w:rFonts w:ascii="Times New Roman" w:hAnsi="Times New Roman" w:cs="Times New Roman"/>
          <w:sz w:val="24"/>
        </w:rPr>
        <w:t xml:space="preserve">María Concepción Fernández López con su «Moldes de la </w:t>
      </w:r>
      <w:r w:rsidR="00A86B52">
        <w:rPr>
          <w:rFonts w:ascii="Times New Roman" w:hAnsi="Times New Roman" w:cs="Times New Roman"/>
          <w:i/>
          <w:sz w:val="24"/>
        </w:rPr>
        <w:t xml:space="preserve">Eneida </w:t>
      </w:r>
      <w:r w:rsidR="00A86B52">
        <w:rPr>
          <w:rFonts w:ascii="Times New Roman" w:hAnsi="Times New Roman" w:cs="Times New Roman"/>
          <w:sz w:val="24"/>
        </w:rPr>
        <w:t xml:space="preserve">en el </w:t>
      </w:r>
      <w:r w:rsidR="00A86B52">
        <w:rPr>
          <w:rFonts w:ascii="Times New Roman" w:hAnsi="Times New Roman" w:cs="Times New Roman"/>
          <w:i/>
          <w:sz w:val="24"/>
        </w:rPr>
        <w:t>Libro de Alexandre</w:t>
      </w:r>
      <w:r w:rsidR="00A86B52">
        <w:rPr>
          <w:rFonts w:ascii="Times New Roman" w:hAnsi="Times New Roman" w:cs="Times New Roman"/>
          <w:sz w:val="24"/>
        </w:rPr>
        <w:t xml:space="preserve">» (pp. 603-612), </w:t>
      </w:r>
      <w:r w:rsidR="00BF42A2">
        <w:rPr>
          <w:rFonts w:ascii="Times New Roman" w:hAnsi="Times New Roman" w:cs="Times New Roman"/>
          <w:sz w:val="24"/>
        </w:rPr>
        <w:t>José María Gutiérrez Aranz, co</w:t>
      </w:r>
      <w:r w:rsidR="00A86B52">
        <w:rPr>
          <w:rFonts w:ascii="Times New Roman" w:hAnsi="Times New Roman" w:cs="Times New Roman"/>
          <w:sz w:val="24"/>
        </w:rPr>
        <w:t>n «</w:t>
      </w:r>
      <w:r w:rsidR="00A86B52">
        <w:rPr>
          <w:rFonts w:ascii="Times New Roman" w:hAnsi="Times New Roman" w:cs="Times New Roman"/>
          <w:i/>
          <w:sz w:val="24"/>
        </w:rPr>
        <w:t>O qui perpetua medievalis</w:t>
      </w:r>
      <w:r w:rsidR="00A86B52">
        <w:rPr>
          <w:rFonts w:ascii="Times New Roman" w:hAnsi="Times New Roman" w:cs="Times New Roman"/>
          <w:sz w:val="24"/>
        </w:rPr>
        <w:t xml:space="preserve">» (pp. 641-648) </w:t>
      </w:r>
      <w:r w:rsidR="003D3F0A">
        <w:rPr>
          <w:rFonts w:ascii="Times New Roman" w:hAnsi="Times New Roman" w:cs="Times New Roman"/>
          <w:sz w:val="24"/>
        </w:rPr>
        <w:t>y Luis Pomer</w:t>
      </w:r>
      <w:r w:rsidR="00BF42A2">
        <w:rPr>
          <w:rFonts w:ascii="Times New Roman" w:hAnsi="Times New Roman" w:cs="Times New Roman"/>
          <w:sz w:val="24"/>
        </w:rPr>
        <w:t xml:space="preserve"> Monferrer con</w:t>
      </w:r>
      <w:r w:rsidR="00876538">
        <w:rPr>
          <w:rFonts w:ascii="Times New Roman" w:hAnsi="Times New Roman" w:cs="Times New Roman"/>
          <w:sz w:val="24"/>
        </w:rPr>
        <w:t xml:space="preserve"> «El episodio del encuentro de la amazona Talestris con Alejandro: fuentes y transmisión» (pp. 715-720)</w:t>
      </w:r>
      <w:r w:rsidR="00993D3B">
        <w:rPr>
          <w:rFonts w:ascii="Times New Roman" w:hAnsi="Times New Roman" w:cs="Times New Roman"/>
          <w:sz w:val="24"/>
        </w:rPr>
        <w:t xml:space="preserve">. En el primer caso, </w:t>
      </w:r>
      <w:r w:rsidR="0072687C">
        <w:rPr>
          <w:rFonts w:ascii="Times New Roman" w:hAnsi="Times New Roman" w:cs="Times New Roman"/>
          <w:sz w:val="24"/>
        </w:rPr>
        <w:t xml:space="preserve">se habla </w:t>
      </w:r>
      <w:r w:rsidR="00993D3B">
        <w:rPr>
          <w:rFonts w:ascii="Times New Roman" w:hAnsi="Times New Roman" w:cs="Times New Roman"/>
          <w:sz w:val="24"/>
        </w:rPr>
        <w:t>de ecos virgilianos directos, en el segundo, de ecos boecianos filtrados a través del cristianismo</w:t>
      </w:r>
      <w:r>
        <w:rPr>
          <w:rFonts w:ascii="Times New Roman" w:hAnsi="Times New Roman" w:cs="Times New Roman"/>
          <w:sz w:val="24"/>
        </w:rPr>
        <w:t>, y de su influencia en autores como Alcuino y Casiodoro</w:t>
      </w:r>
      <w:r w:rsidR="0049165E">
        <w:rPr>
          <w:rFonts w:ascii="Times New Roman" w:hAnsi="Times New Roman" w:cs="Times New Roman"/>
          <w:sz w:val="24"/>
        </w:rPr>
        <w:t>. En la última contribución, al</w:t>
      </w:r>
      <w:r w:rsidR="00993D3B">
        <w:rPr>
          <w:rFonts w:ascii="Times New Roman" w:hAnsi="Times New Roman" w:cs="Times New Roman"/>
          <w:sz w:val="24"/>
        </w:rPr>
        <w:t xml:space="preserve"> trazar</w:t>
      </w:r>
      <w:r w:rsidR="00D23E12">
        <w:rPr>
          <w:rFonts w:ascii="Times New Roman" w:hAnsi="Times New Roman" w:cs="Times New Roman"/>
          <w:sz w:val="24"/>
        </w:rPr>
        <w:t>se</w:t>
      </w:r>
      <w:r w:rsidR="00993D3B">
        <w:rPr>
          <w:rFonts w:ascii="Times New Roman" w:hAnsi="Times New Roman" w:cs="Times New Roman"/>
          <w:sz w:val="24"/>
        </w:rPr>
        <w:t xml:space="preserve"> el recorrido del episodio</w:t>
      </w:r>
      <w:r w:rsidR="00CD74E8">
        <w:rPr>
          <w:rFonts w:ascii="Times New Roman" w:hAnsi="Times New Roman" w:cs="Times New Roman"/>
          <w:sz w:val="24"/>
        </w:rPr>
        <w:t xml:space="preserve"> de Talestris</w:t>
      </w:r>
      <w:r w:rsidR="00610F4B">
        <w:rPr>
          <w:rFonts w:ascii="Times New Roman" w:hAnsi="Times New Roman" w:cs="Times New Roman"/>
          <w:sz w:val="24"/>
        </w:rPr>
        <w:t>,</w:t>
      </w:r>
      <w:r w:rsidR="00D23E12">
        <w:rPr>
          <w:rFonts w:ascii="Times New Roman" w:hAnsi="Times New Roman" w:cs="Times New Roman"/>
          <w:sz w:val="24"/>
        </w:rPr>
        <w:t xml:space="preserve"> se</w:t>
      </w:r>
      <w:r w:rsidR="00993D3B">
        <w:rPr>
          <w:rFonts w:ascii="Times New Roman" w:hAnsi="Times New Roman" w:cs="Times New Roman"/>
          <w:sz w:val="24"/>
        </w:rPr>
        <w:t xml:space="preserve"> </w:t>
      </w:r>
      <w:r w:rsidR="0072687C">
        <w:rPr>
          <w:rFonts w:ascii="Times New Roman" w:hAnsi="Times New Roman" w:cs="Times New Roman"/>
          <w:sz w:val="24"/>
        </w:rPr>
        <w:t>pone</w:t>
      </w:r>
      <w:r w:rsidR="00610F4B">
        <w:rPr>
          <w:rFonts w:ascii="Times New Roman" w:hAnsi="Times New Roman" w:cs="Times New Roman"/>
          <w:sz w:val="24"/>
        </w:rPr>
        <w:t>n</w:t>
      </w:r>
      <w:r w:rsidR="0072687C">
        <w:rPr>
          <w:rFonts w:ascii="Times New Roman" w:hAnsi="Times New Roman" w:cs="Times New Roman"/>
          <w:sz w:val="24"/>
        </w:rPr>
        <w:t xml:space="preserve"> de manifiesto</w:t>
      </w:r>
      <w:r w:rsidR="00993D3B">
        <w:rPr>
          <w:rFonts w:ascii="Times New Roman" w:hAnsi="Times New Roman" w:cs="Times New Roman"/>
          <w:sz w:val="24"/>
        </w:rPr>
        <w:t xml:space="preserve"> las distintas opiniones en torno al mismo.</w:t>
      </w:r>
    </w:p>
    <w:p w14:paraId="62D525D2" w14:textId="5A799E2A" w:rsidR="00D37F46" w:rsidRDefault="00AC56A8" w:rsidP="00726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aportaciones referentes a</w:t>
      </w:r>
      <w:r w:rsidR="00123F7C">
        <w:rPr>
          <w:rFonts w:ascii="Times New Roman" w:hAnsi="Times New Roman" w:cs="Times New Roman"/>
          <w:sz w:val="24"/>
        </w:rPr>
        <w:t xml:space="preserve"> lo</w:t>
      </w:r>
      <w:r w:rsidR="00CB4576">
        <w:rPr>
          <w:rFonts w:ascii="Times New Roman" w:hAnsi="Times New Roman" w:cs="Times New Roman"/>
          <w:sz w:val="24"/>
        </w:rPr>
        <w:t xml:space="preserve">s siglos XVI y XVII </w:t>
      </w:r>
      <w:r>
        <w:rPr>
          <w:rFonts w:ascii="Times New Roman" w:hAnsi="Times New Roman" w:cs="Times New Roman"/>
          <w:sz w:val="24"/>
        </w:rPr>
        <w:t xml:space="preserve">son numerosas y variadas: la </w:t>
      </w:r>
      <w:r w:rsidR="00123F7C">
        <w:rPr>
          <w:rFonts w:ascii="Times New Roman" w:hAnsi="Times New Roman" w:cs="Times New Roman"/>
          <w:sz w:val="24"/>
        </w:rPr>
        <w:t xml:space="preserve">de Trinidad Arcos Pereira con el nombre de «Los </w:t>
      </w:r>
      <w:r w:rsidR="00123F7C">
        <w:rPr>
          <w:rFonts w:ascii="Times New Roman" w:hAnsi="Times New Roman" w:cs="Times New Roman"/>
          <w:i/>
          <w:sz w:val="24"/>
        </w:rPr>
        <w:t xml:space="preserve">Progymnasmata </w:t>
      </w:r>
      <w:r w:rsidR="00123F7C">
        <w:rPr>
          <w:rFonts w:ascii="Times New Roman" w:hAnsi="Times New Roman" w:cs="Times New Roman"/>
          <w:sz w:val="24"/>
        </w:rPr>
        <w:t xml:space="preserve">en la obra de Joachimus Camerarius» (pp. 553-560), </w:t>
      </w:r>
      <w:r w:rsidR="00CB4576">
        <w:rPr>
          <w:rFonts w:ascii="Times New Roman" w:hAnsi="Times New Roman" w:cs="Times New Roman"/>
          <w:sz w:val="24"/>
        </w:rPr>
        <w:t>la de</w:t>
      </w:r>
      <w:r w:rsidR="00123F7C">
        <w:rPr>
          <w:rFonts w:ascii="Times New Roman" w:hAnsi="Times New Roman" w:cs="Times New Roman"/>
          <w:sz w:val="24"/>
        </w:rPr>
        <w:t xml:space="preserve"> Soledad Atienza Valero </w:t>
      </w:r>
      <w:r w:rsidR="00CB4576">
        <w:rPr>
          <w:rFonts w:ascii="Times New Roman" w:hAnsi="Times New Roman" w:cs="Times New Roman"/>
          <w:sz w:val="24"/>
        </w:rPr>
        <w:t>co</w:t>
      </w:r>
      <w:r w:rsidR="00123F7C">
        <w:rPr>
          <w:rFonts w:ascii="Times New Roman" w:hAnsi="Times New Roman" w:cs="Times New Roman"/>
          <w:sz w:val="24"/>
        </w:rPr>
        <w:t xml:space="preserve">n «Ópera y mundo clásico: el </w:t>
      </w:r>
      <w:r w:rsidR="00123F7C">
        <w:rPr>
          <w:rFonts w:ascii="Times New Roman" w:hAnsi="Times New Roman" w:cs="Times New Roman"/>
          <w:i/>
          <w:sz w:val="24"/>
        </w:rPr>
        <w:t xml:space="preserve">Faetonte </w:t>
      </w:r>
      <w:r w:rsidR="00123F7C">
        <w:rPr>
          <w:rFonts w:ascii="Times New Roman" w:hAnsi="Times New Roman" w:cs="Times New Roman"/>
          <w:sz w:val="24"/>
        </w:rPr>
        <w:t>de Lully» (pp. 569-576)</w:t>
      </w:r>
      <w:r w:rsidR="00CB4576">
        <w:rPr>
          <w:rFonts w:ascii="Times New Roman" w:hAnsi="Times New Roman" w:cs="Times New Roman"/>
          <w:sz w:val="24"/>
        </w:rPr>
        <w:t>,</w:t>
      </w:r>
      <w:r w:rsidR="00123F7C">
        <w:rPr>
          <w:rFonts w:ascii="Times New Roman" w:hAnsi="Times New Roman" w:cs="Times New Roman"/>
          <w:sz w:val="24"/>
        </w:rPr>
        <w:t xml:space="preserve"> </w:t>
      </w:r>
      <w:r w:rsidR="0072687C">
        <w:rPr>
          <w:rFonts w:ascii="Times New Roman" w:hAnsi="Times New Roman" w:cs="Times New Roman"/>
          <w:sz w:val="24"/>
        </w:rPr>
        <w:t xml:space="preserve">la de </w:t>
      </w:r>
      <w:r w:rsidR="00123F7C">
        <w:rPr>
          <w:rFonts w:ascii="Times New Roman" w:hAnsi="Times New Roman" w:cs="Times New Roman"/>
          <w:sz w:val="24"/>
        </w:rPr>
        <w:t xml:space="preserve">Rosa Pedrero Sancho con su «Ópera y novela griega: </w:t>
      </w:r>
      <w:r w:rsidR="00123F7C">
        <w:rPr>
          <w:rFonts w:ascii="Times New Roman" w:hAnsi="Times New Roman" w:cs="Times New Roman"/>
          <w:i/>
          <w:sz w:val="24"/>
        </w:rPr>
        <w:t xml:space="preserve">Las Etiópicas </w:t>
      </w:r>
      <w:r w:rsidR="00CB4576">
        <w:rPr>
          <w:rFonts w:ascii="Times New Roman" w:hAnsi="Times New Roman" w:cs="Times New Roman"/>
          <w:sz w:val="24"/>
        </w:rPr>
        <w:t>de Heliodoro»,</w:t>
      </w:r>
      <w:r w:rsidR="00123F7C">
        <w:rPr>
          <w:rFonts w:ascii="Times New Roman" w:hAnsi="Times New Roman" w:cs="Times New Roman"/>
          <w:sz w:val="24"/>
        </w:rPr>
        <w:t xml:space="preserve"> </w:t>
      </w:r>
      <w:r w:rsidR="0072687C">
        <w:rPr>
          <w:rFonts w:ascii="Times New Roman" w:hAnsi="Times New Roman" w:cs="Times New Roman"/>
          <w:sz w:val="24"/>
        </w:rPr>
        <w:t xml:space="preserve">la de </w:t>
      </w:r>
      <w:r w:rsidR="00CB4576">
        <w:rPr>
          <w:rFonts w:ascii="Times New Roman" w:hAnsi="Times New Roman" w:cs="Times New Roman"/>
          <w:sz w:val="24"/>
        </w:rPr>
        <w:t>Luis Miguel Pino Campos con</w:t>
      </w:r>
      <w:r w:rsidR="00123F7C">
        <w:rPr>
          <w:rFonts w:ascii="Times New Roman" w:hAnsi="Times New Roman" w:cs="Times New Roman"/>
          <w:sz w:val="24"/>
        </w:rPr>
        <w:t xml:space="preserve"> su «Las fuentes clásicas del jurista Juan de Solórzano Pereira» (pp. 699-706), </w:t>
      </w:r>
      <w:r w:rsidR="0072687C">
        <w:rPr>
          <w:rFonts w:ascii="Times New Roman" w:hAnsi="Times New Roman" w:cs="Times New Roman"/>
          <w:sz w:val="24"/>
        </w:rPr>
        <w:t xml:space="preserve">la de </w:t>
      </w:r>
      <w:r w:rsidR="00123F7C">
        <w:rPr>
          <w:rFonts w:ascii="Times New Roman" w:hAnsi="Times New Roman" w:cs="Times New Roman"/>
          <w:sz w:val="24"/>
        </w:rPr>
        <w:t xml:space="preserve">Vicente M. Ramón Palerm con su contribución «El legado clásico en la escuela </w:t>
      </w:r>
      <w:r w:rsidR="00123F7C">
        <w:rPr>
          <w:rFonts w:ascii="Times New Roman" w:hAnsi="Times New Roman" w:cs="Times New Roman"/>
          <w:sz w:val="24"/>
        </w:rPr>
        <w:lastRenderedPageBreak/>
        <w:t>dramatúrgica del siglo XVII hispano: algunos autores representativos del género cómico» (pp. 721-730</w:t>
      </w:r>
      <w:r w:rsidR="00CB4576">
        <w:rPr>
          <w:rFonts w:ascii="Times New Roman" w:hAnsi="Times New Roman" w:cs="Times New Roman"/>
          <w:sz w:val="24"/>
        </w:rPr>
        <w:t>),</w:t>
      </w:r>
      <w:r w:rsidR="00123F7C">
        <w:rPr>
          <w:rFonts w:ascii="Times New Roman" w:hAnsi="Times New Roman" w:cs="Times New Roman"/>
          <w:sz w:val="24"/>
        </w:rPr>
        <w:t xml:space="preserve"> </w:t>
      </w:r>
      <w:r w:rsidR="0072687C">
        <w:rPr>
          <w:rFonts w:ascii="Times New Roman" w:hAnsi="Times New Roman" w:cs="Times New Roman"/>
          <w:sz w:val="24"/>
        </w:rPr>
        <w:t xml:space="preserve">la de </w:t>
      </w:r>
      <w:r w:rsidR="00123F7C">
        <w:rPr>
          <w:rFonts w:ascii="Times New Roman" w:hAnsi="Times New Roman" w:cs="Times New Roman"/>
          <w:sz w:val="24"/>
        </w:rPr>
        <w:t xml:space="preserve">Francisco Salas Salgado y Mª Pilar Lojendio Quintero </w:t>
      </w:r>
      <w:r w:rsidR="00E36D26">
        <w:rPr>
          <w:rFonts w:ascii="Times New Roman" w:hAnsi="Times New Roman" w:cs="Times New Roman"/>
          <w:sz w:val="24"/>
        </w:rPr>
        <w:t xml:space="preserve">con </w:t>
      </w:r>
      <w:r w:rsidR="00123F7C">
        <w:rPr>
          <w:rFonts w:ascii="Times New Roman" w:hAnsi="Times New Roman" w:cs="Times New Roman"/>
          <w:sz w:val="24"/>
        </w:rPr>
        <w:t xml:space="preserve">«Mitología clásica e Ilustración: </w:t>
      </w:r>
      <w:r w:rsidR="00123F7C">
        <w:rPr>
          <w:rFonts w:ascii="Times New Roman" w:hAnsi="Times New Roman" w:cs="Times New Roman"/>
          <w:i/>
          <w:sz w:val="24"/>
        </w:rPr>
        <w:t xml:space="preserve">Madrid por dentro </w:t>
      </w:r>
      <w:r w:rsidR="00123F7C">
        <w:rPr>
          <w:rFonts w:ascii="Times New Roman" w:hAnsi="Times New Roman" w:cs="Times New Roman"/>
          <w:sz w:val="24"/>
        </w:rPr>
        <w:t>de Cristóbal del Hoyo» (pp. 747-754</w:t>
      </w:r>
      <w:r w:rsidR="00CB4576">
        <w:rPr>
          <w:rFonts w:ascii="Times New Roman" w:hAnsi="Times New Roman" w:cs="Times New Roman"/>
          <w:sz w:val="24"/>
        </w:rPr>
        <w:t xml:space="preserve">), </w:t>
      </w:r>
      <w:r w:rsidR="0072687C">
        <w:rPr>
          <w:rFonts w:ascii="Times New Roman" w:hAnsi="Times New Roman" w:cs="Times New Roman"/>
          <w:sz w:val="24"/>
        </w:rPr>
        <w:t xml:space="preserve">la de </w:t>
      </w:r>
      <w:r w:rsidR="00D37F46">
        <w:rPr>
          <w:rFonts w:ascii="Times New Roman" w:hAnsi="Times New Roman" w:cs="Times New Roman"/>
          <w:sz w:val="24"/>
        </w:rPr>
        <w:t xml:space="preserve">Katarzyna Krystyna Starczewska </w:t>
      </w:r>
      <w:r w:rsidR="00CB4576">
        <w:rPr>
          <w:rFonts w:ascii="Times New Roman" w:hAnsi="Times New Roman" w:cs="Times New Roman"/>
          <w:sz w:val="24"/>
        </w:rPr>
        <w:t>co</w:t>
      </w:r>
      <w:r w:rsidR="00D37F46">
        <w:rPr>
          <w:rFonts w:ascii="Times New Roman" w:hAnsi="Times New Roman" w:cs="Times New Roman"/>
          <w:sz w:val="24"/>
        </w:rPr>
        <w:t xml:space="preserve">n «El lenguaje de la traducción latina del Corán (1518/1621) como un ejemplo de la actitud humanista» (pp. 767-774) </w:t>
      </w:r>
      <w:r w:rsidR="00CB4576">
        <w:rPr>
          <w:rFonts w:ascii="Times New Roman" w:hAnsi="Times New Roman" w:cs="Times New Roman"/>
          <w:sz w:val="24"/>
        </w:rPr>
        <w:t>y</w:t>
      </w:r>
      <w:r w:rsidR="0072687C">
        <w:rPr>
          <w:rFonts w:ascii="Times New Roman" w:hAnsi="Times New Roman" w:cs="Times New Roman"/>
          <w:sz w:val="24"/>
        </w:rPr>
        <w:t>, por último, la de</w:t>
      </w:r>
      <w:r w:rsidR="00CB4576">
        <w:rPr>
          <w:rFonts w:ascii="Times New Roman" w:hAnsi="Times New Roman" w:cs="Times New Roman"/>
          <w:sz w:val="24"/>
        </w:rPr>
        <w:t xml:space="preserve"> Josep Luis Teodoro Peris</w:t>
      </w:r>
      <w:r w:rsidR="00D37F46">
        <w:rPr>
          <w:rFonts w:ascii="Times New Roman" w:hAnsi="Times New Roman" w:cs="Times New Roman"/>
          <w:sz w:val="24"/>
        </w:rPr>
        <w:t xml:space="preserve"> </w:t>
      </w:r>
      <w:r w:rsidR="00CB4576">
        <w:rPr>
          <w:rFonts w:ascii="Times New Roman" w:hAnsi="Times New Roman" w:cs="Times New Roman"/>
          <w:sz w:val="24"/>
        </w:rPr>
        <w:t>co</w:t>
      </w:r>
      <w:r w:rsidR="00D37F46">
        <w:rPr>
          <w:rFonts w:ascii="Times New Roman" w:hAnsi="Times New Roman" w:cs="Times New Roman"/>
          <w:sz w:val="24"/>
        </w:rPr>
        <w:t xml:space="preserve">n «Últimos actos del divino Eneas sobre la Tierra: dos suplementos hexamétricos de la </w:t>
      </w:r>
      <w:r w:rsidR="00D37F46">
        <w:rPr>
          <w:rFonts w:ascii="Times New Roman" w:hAnsi="Times New Roman" w:cs="Times New Roman"/>
          <w:i/>
          <w:sz w:val="24"/>
        </w:rPr>
        <w:t xml:space="preserve">Eneida </w:t>
      </w:r>
      <w:r w:rsidR="00D37F46">
        <w:rPr>
          <w:rFonts w:ascii="Times New Roman" w:hAnsi="Times New Roman" w:cs="Times New Roman"/>
          <w:sz w:val="24"/>
        </w:rPr>
        <w:t>del siglo XVII» (pp. 783-790)</w:t>
      </w:r>
      <w:r w:rsidR="00CB4576">
        <w:rPr>
          <w:rFonts w:ascii="Times New Roman" w:hAnsi="Times New Roman" w:cs="Times New Roman"/>
          <w:sz w:val="24"/>
        </w:rPr>
        <w:t xml:space="preserve">. </w:t>
      </w:r>
      <w:r w:rsidR="00993D3B">
        <w:rPr>
          <w:rFonts w:ascii="Times New Roman" w:hAnsi="Times New Roman" w:cs="Times New Roman"/>
          <w:sz w:val="24"/>
        </w:rPr>
        <w:t xml:space="preserve">De este bloque </w:t>
      </w:r>
      <w:r>
        <w:rPr>
          <w:rFonts w:ascii="Times New Roman" w:hAnsi="Times New Roman" w:cs="Times New Roman"/>
          <w:sz w:val="24"/>
        </w:rPr>
        <w:t xml:space="preserve">cabe </w:t>
      </w:r>
      <w:r w:rsidR="00993D3B">
        <w:rPr>
          <w:rFonts w:ascii="Times New Roman" w:hAnsi="Times New Roman" w:cs="Times New Roman"/>
          <w:sz w:val="24"/>
        </w:rPr>
        <w:t>destacar</w:t>
      </w:r>
      <w:r>
        <w:rPr>
          <w:rFonts w:ascii="Times New Roman" w:hAnsi="Times New Roman" w:cs="Times New Roman"/>
          <w:sz w:val="24"/>
        </w:rPr>
        <w:t xml:space="preserve">, por una parte, </w:t>
      </w:r>
      <w:r w:rsidR="00993D3B">
        <w:rPr>
          <w:rFonts w:ascii="Times New Roman" w:hAnsi="Times New Roman" w:cs="Times New Roman"/>
          <w:sz w:val="24"/>
        </w:rPr>
        <w:t xml:space="preserve">la importancia de los clásicos en la ópera: dos autores tan dispares como Ovidio y </w:t>
      </w:r>
      <w:r w:rsidR="00D079C2">
        <w:rPr>
          <w:rFonts w:ascii="Times New Roman" w:hAnsi="Times New Roman" w:cs="Times New Roman"/>
          <w:sz w:val="24"/>
        </w:rPr>
        <w:t>Heliodoro son tratados en do</w:t>
      </w:r>
      <w:r w:rsidR="00D23E12">
        <w:rPr>
          <w:rFonts w:ascii="Times New Roman" w:hAnsi="Times New Roman" w:cs="Times New Roman"/>
          <w:sz w:val="24"/>
        </w:rPr>
        <w:t>s contribuciones. P</w:t>
      </w:r>
      <w:r w:rsidR="00993D3B">
        <w:rPr>
          <w:rFonts w:ascii="Times New Roman" w:hAnsi="Times New Roman" w:cs="Times New Roman"/>
          <w:sz w:val="24"/>
        </w:rPr>
        <w:t xml:space="preserve">or otra parte, </w:t>
      </w:r>
      <w:r w:rsidR="00D23E12">
        <w:rPr>
          <w:rFonts w:ascii="Times New Roman" w:hAnsi="Times New Roman" w:cs="Times New Roman"/>
          <w:sz w:val="24"/>
        </w:rPr>
        <w:t xml:space="preserve">resulta muy interesante </w:t>
      </w:r>
      <w:r w:rsidR="002050C1">
        <w:rPr>
          <w:rFonts w:ascii="Times New Roman" w:hAnsi="Times New Roman" w:cs="Times New Roman"/>
          <w:sz w:val="24"/>
        </w:rPr>
        <w:t>analizar la traducción latina del Corán cuyas diferencias con el original resultan ser, sorprendentemente, por motivos lingüísticos y no religiosos.</w:t>
      </w:r>
      <w:r w:rsidR="00404D31">
        <w:rPr>
          <w:rFonts w:ascii="Times New Roman" w:hAnsi="Times New Roman" w:cs="Times New Roman"/>
          <w:sz w:val="24"/>
        </w:rPr>
        <w:t xml:space="preserve"> Lo paródico también tiene cabida</w:t>
      </w:r>
      <w:r w:rsidR="0048374D">
        <w:rPr>
          <w:rFonts w:ascii="Times New Roman" w:hAnsi="Times New Roman" w:cs="Times New Roman"/>
          <w:sz w:val="24"/>
        </w:rPr>
        <w:t xml:space="preserve"> en dos contribuciones</w:t>
      </w:r>
      <w:r w:rsidR="00404D31">
        <w:rPr>
          <w:rFonts w:ascii="Times New Roman" w:hAnsi="Times New Roman" w:cs="Times New Roman"/>
          <w:sz w:val="24"/>
        </w:rPr>
        <w:t xml:space="preserve">: en el caso </w:t>
      </w:r>
      <w:r w:rsidR="0048374D">
        <w:rPr>
          <w:rFonts w:ascii="Times New Roman" w:hAnsi="Times New Roman" w:cs="Times New Roman"/>
          <w:sz w:val="24"/>
        </w:rPr>
        <w:t>de del Hoyo, lo clásico sirve de manera ornamental a la parodia.</w:t>
      </w:r>
    </w:p>
    <w:p w14:paraId="2618CD78" w14:textId="488BF6B8" w:rsidR="00D37F46" w:rsidRDefault="00123F7C" w:rsidP="007268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las </w:t>
      </w:r>
      <w:r w:rsidR="001D2F5D">
        <w:rPr>
          <w:rFonts w:ascii="Times New Roman" w:hAnsi="Times New Roman" w:cs="Times New Roman"/>
          <w:sz w:val="24"/>
        </w:rPr>
        <w:t>comunicaciones</w:t>
      </w:r>
      <w:r>
        <w:rPr>
          <w:rFonts w:ascii="Times New Roman" w:hAnsi="Times New Roman" w:cs="Times New Roman"/>
          <w:sz w:val="24"/>
        </w:rPr>
        <w:t xml:space="preserve"> enmarcadas en los siglos XVIII y XIX </w:t>
      </w:r>
      <w:r w:rsidR="00AC56A8">
        <w:rPr>
          <w:rFonts w:ascii="Times New Roman" w:hAnsi="Times New Roman" w:cs="Times New Roman"/>
          <w:sz w:val="24"/>
        </w:rPr>
        <w:t xml:space="preserve">se encuentran </w:t>
      </w:r>
      <w:r w:rsidR="00A86B52">
        <w:rPr>
          <w:rFonts w:ascii="Times New Roman" w:hAnsi="Times New Roman" w:cs="Times New Roman"/>
          <w:sz w:val="24"/>
        </w:rPr>
        <w:t>«Apuntes sobre la perfección clásica en el abate Vicente Requeno (1743-1811), restaurador de artes grecolatinas» (pp. 561-568) de Antonio Astorgano Abajo</w:t>
      </w:r>
      <w:r w:rsidR="00CB4576">
        <w:rPr>
          <w:rFonts w:ascii="Times New Roman" w:hAnsi="Times New Roman" w:cs="Times New Roman"/>
          <w:sz w:val="24"/>
        </w:rPr>
        <w:t>, «Temática grecolatina en la obra de Juan José Lucas Elizondo» (pp. 633-640) de</w:t>
      </w:r>
      <w:r w:rsidR="00A86B52">
        <w:rPr>
          <w:rFonts w:ascii="Times New Roman" w:hAnsi="Times New Roman" w:cs="Times New Roman"/>
          <w:sz w:val="24"/>
        </w:rPr>
        <w:t xml:space="preserve"> Íñigo de Goñi Echevarría</w:t>
      </w:r>
      <w:r w:rsidR="00CB4576">
        <w:rPr>
          <w:rFonts w:ascii="Times New Roman" w:hAnsi="Times New Roman" w:cs="Times New Roman"/>
          <w:sz w:val="24"/>
        </w:rPr>
        <w:t xml:space="preserve">, «La </w:t>
      </w:r>
      <w:r w:rsidR="00CB4576">
        <w:rPr>
          <w:rFonts w:ascii="Times New Roman" w:hAnsi="Times New Roman" w:cs="Times New Roman"/>
          <w:i/>
          <w:sz w:val="24"/>
        </w:rPr>
        <w:t xml:space="preserve">Didone abbandonata </w:t>
      </w:r>
      <w:r w:rsidR="00CB4576">
        <w:rPr>
          <w:rFonts w:ascii="Times New Roman" w:hAnsi="Times New Roman" w:cs="Times New Roman"/>
          <w:sz w:val="24"/>
        </w:rPr>
        <w:t xml:space="preserve">de Metastasio y el libro 4 de la </w:t>
      </w:r>
      <w:r w:rsidR="00CB4576">
        <w:rPr>
          <w:rFonts w:ascii="Times New Roman" w:hAnsi="Times New Roman" w:cs="Times New Roman"/>
          <w:i/>
          <w:sz w:val="24"/>
        </w:rPr>
        <w:t>Eneida</w:t>
      </w:r>
      <w:r w:rsidR="00CB4576">
        <w:rPr>
          <w:rFonts w:ascii="Times New Roman" w:hAnsi="Times New Roman" w:cs="Times New Roman"/>
          <w:sz w:val="24"/>
        </w:rPr>
        <w:t xml:space="preserve">» (pp. 755-766) de </w:t>
      </w:r>
      <w:r w:rsidR="00D37F46">
        <w:rPr>
          <w:rFonts w:ascii="Times New Roman" w:hAnsi="Times New Roman" w:cs="Times New Roman"/>
          <w:sz w:val="24"/>
        </w:rPr>
        <w:t xml:space="preserve">Francisco Ramón Solano Hernández, «Eurípides en la ópera: </w:t>
      </w:r>
      <w:r w:rsidR="00D37F46">
        <w:rPr>
          <w:rFonts w:ascii="Times New Roman" w:hAnsi="Times New Roman" w:cs="Times New Roman"/>
          <w:i/>
          <w:sz w:val="24"/>
        </w:rPr>
        <w:t xml:space="preserve">Le Sconfitte </w:t>
      </w:r>
      <w:r w:rsidR="00D37F46">
        <w:rPr>
          <w:rFonts w:ascii="Times New Roman" w:hAnsi="Times New Roman" w:cs="Times New Roman"/>
          <w:sz w:val="24"/>
        </w:rPr>
        <w:t>de Claudio Gay» (pp. 649-656)</w:t>
      </w:r>
      <w:r w:rsidR="00CB4576">
        <w:rPr>
          <w:rFonts w:ascii="Times New Roman" w:hAnsi="Times New Roman" w:cs="Times New Roman"/>
          <w:sz w:val="24"/>
        </w:rPr>
        <w:t xml:space="preserve"> de Helena Guzmán García y </w:t>
      </w:r>
      <w:r w:rsidR="00D37F46">
        <w:rPr>
          <w:rFonts w:ascii="Times New Roman" w:hAnsi="Times New Roman" w:cs="Times New Roman"/>
          <w:sz w:val="24"/>
        </w:rPr>
        <w:t>«Estudio semántico comparativo de las referencias al mundo clásico en la primera c</w:t>
      </w:r>
      <w:r w:rsidR="00CB4576">
        <w:rPr>
          <w:rFonts w:ascii="Times New Roman" w:hAnsi="Times New Roman" w:cs="Times New Roman"/>
          <w:sz w:val="24"/>
        </w:rPr>
        <w:t>rítica martiana» (pp. 731-738) de Liliana Ramos Cruz</w:t>
      </w:r>
      <w:r w:rsidR="00D37F46">
        <w:rPr>
          <w:rFonts w:ascii="Times New Roman" w:hAnsi="Times New Roman" w:cs="Times New Roman"/>
          <w:sz w:val="24"/>
        </w:rPr>
        <w:t>.</w:t>
      </w:r>
      <w:r w:rsidR="002050C1">
        <w:rPr>
          <w:rFonts w:ascii="Times New Roman" w:hAnsi="Times New Roman" w:cs="Times New Roman"/>
          <w:sz w:val="24"/>
        </w:rPr>
        <w:t xml:space="preserve"> </w:t>
      </w:r>
      <w:r w:rsidR="00AC56A8">
        <w:rPr>
          <w:rFonts w:ascii="Times New Roman" w:hAnsi="Times New Roman" w:cs="Times New Roman"/>
          <w:sz w:val="24"/>
        </w:rPr>
        <w:t>De nuevo es importante la influencia en lo clásico en la</w:t>
      </w:r>
      <w:r w:rsidR="002050C1">
        <w:rPr>
          <w:rFonts w:ascii="Times New Roman" w:hAnsi="Times New Roman" w:cs="Times New Roman"/>
          <w:sz w:val="24"/>
        </w:rPr>
        <w:t xml:space="preserve"> ópera, pero también </w:t>
      </w:r>
      <w:r w:rsidR="00AC56A8">
        <w:rPr>
          <w:rFonts w:ascii="Times New Roman" w:hAnsi="Times New Roman" w:cs="Times New Roman"/>
          <w:sz w:val="24"/>
        </w:rPr>
        <w:t>es</w:t>
      </w:r>
      <w:r w:rsidR="002050C1">
        <w:rPr>
          <w:rFonts w:ascii="Times New Roman" w:hAnsi="Times New Roman" w:cs="Times New Roman"/>
          <w:sz w:val="24"/>
        </w:rPr>
        <w:t xml:space="preserve"> destacable es la contribución sobre José Martí, que pone de relieve </w:t>
      </w:r>
      <w:r w:rsidR="00B15FCB">
        <w:rPr>
          <w:rFonts w:ascii="Times New Roman" w:hAnsi="Times New Roman" w:cs="Times New Roman"/>
          <w:sz w:val="24"/>
        </w:rPr>
        <w:t>el sistema estético del autor cubano.</w:t>
      </w:r>
    </w:p>
    <w:p w14:paraId="208F48D1" w14:textId="10BD5423" w:rsidR="00776C59" w:rsidRPr="00776C59" w:rsidRDefault="00775FBB" w:rsidP="00776C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 las comunicaciones sobre la pervivencia clásica en</w:t>
      </w:r>
      <w:r w:rsidR="00D37F46">
        <w:rPr>
          <w:rFonts w:ascii="Times New Roman" w:hAnsi="Times New Roman" w:cs="Times New Roman"/>
          <w:sz w:val="24"/>
        </w:rPr>
        <w:t xml:space="preserve"> el siglo XX,</w:t>
      </w:r>
      <w:r w:rsidR="00CB45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puede encontrar </w:t>
      </w:r>
      <w:r w:rsidR="00CB4576">
        <w:rPr>
          <w:rFonts w:ascii="Times New Roman" w:hAnsi="Times New Roman" w:cs="Times New Roman"/>
          <w:sz w:val="24"/>
        </w:rPr>
        <w:t>a</w:t>
      </w:r>
      <w:r w:rsidR="00876538">
        <w:rPr>
          <w:rFonts w:ascii="Times New Roman" w:hAnsi="Times New Roman" w:cs="Times New Roman"/>
          <w:sz w:val="24"/>
        </w:rPr>
        <w:t xml:space="preserve"> </w:t>
      </w:r>
      <w:r w:rsidR="00416D1D">
        <w:rPr>
          <w:rFonts w:ascii="Times New Roman" w:hAnsi="Times New Roman" w:cs="Times New Roman"/>
          <w:sz w:val="24"/>
        </w:rPr>
        <w:t xml:space="preserve">José Ignacio Andújar Cantón </w:t>
      </w:r>
      <w:r w:rsidR="00CB4576">
        <w:rPr>
          <w:rFonts w:ascii="Times New Roman" w:hAnsi="Times New Roman" w:cs="Times New Roman"/>
          <w:sz w:val="24"/>
        </w:rPr>
        <w:t>con</w:t>
      </w:r>
      <w:r w:rsidR="00416D1D">
        <w:rPr>
          <w:rFonts w:ascii="Times New Roman" w:hAnsi="Times New Roman" w:cs="Times New Roman"/>
          <w:sz w:val="24"/>
        </w:rPr>
        <w:t xml:space="preserve"> «Pervivencia del mundo clásico en </w:t>
      </w:r>
      <w:r w:rsidR="00416D1D">
        <w:rPr>
          <w:rFonts w:ascii="Times New Roman" w:hAnsi="Times New Roman" w:cs="Times New Roman"/>
          <w:i/>
          <w:sz w:val="24"/>
        </w:rPr>
        <w:t xml:space="preserve">El charco de sangre </w:t>
      </w:r>
      <w:r w:rsidR="00616204">
        <w:rPr>
          <w:rFonts w:ascii="Times New Roman" w:hAnsi="Times New Roman" w:cs="Times New Roman"/>
          <w:sz w:val="24"/>
        </w:rPr>
        <w:t>de F. García Pavón» (pp. 543-552</w:t>
      </w:r>
      <w:r w:rsidR="00416D1D">
        <w:rPr>
          <w:rFonts w:ascii="Times New Roman" w:hAnsi="Times New Roman" w:cs="Times New Roman"/>
          <w:sz w:val="24"/>
        </w:rPr>
        <w:t>)</w:t>
      </w:r>
      <w:r w:rsidR="00CB4576">
        <w:rPr>
          <w:rFonts w:ascii="Times New Roman" w:hAnsi="Times New Roman" w:cs="Times New Roman"/>
          <w:sz w:val="24"/>
        </w:rPr>
        <w:t xml:space="preserve">, a </w:t>
      </w:r>
      <w:r w:rsidR="00F75D0D">
        <w:rPr>
          <w:rFonts w:ascii="Times New Roman" w:hAnsi="Times New Roman" w:cs="Times New Roman"/>
          <w:sz w:val="24"/>
        </w:rPr>
        <w:t xml:space="preserve">Jesús Bermúdez Ramiro </w:t>
      </w:r>
      <w:r w:rsidR="00CB4576">
        <w:rPr>
          <w:rFonts w:ascii="Times New Roman" w:hAnsi="Times New Roman" w:cs="Times New Roman"/>
          <w:sz w:val="24"/>
        </w:rPr>
        <w:t>con</w:t>
      </w:r>
      <w:r w:rsidR="00F75D0D">
        <w:rPr>
          <w:rFonts w:ascii="Times New Roman" w:hAnsi="Times New Roman" w:cs="Times New Roman"/>
          <w:sz w:val="24"/>
        </w:rPr>
        <w:t xml:space="preserve"> «Personajes mitológicos femeninos en la poesía de Rafael Alberti» (pp. 577-586)</w:t>
      </w:r>
      <w:r w:rsidR="00CB4576">
        <w:rPr>
          <w:rFonts w:ascii="Times New Roman" w:hAnsi="Times New Roman" w:cs="Times New Roman"/>
          <w:sz w:val="24"/>
        </w:rPr>
        <w:t>,</w:t>
      </w:r>
      <w:r w:rsidR="00F75D0D">
        <w:rPr>
          <w:rFonts w:ascii="Times New Roman" w:hAnsi="Times New Roman" w:cs="Times New Roman"/>
          <w:sz w:val="24"/>
        </w:rPr>
        <w:t xml:space="preserve"> </w:t>
      </w:r>
      <w:r w:rsidR="00CB4576">
        <w:rPr>
          <w:rFonts w:ascii="Times New Roman" w:hAnsi="Times New Roman" w:cs="Times New Roman"/>
          <w:sz w:val="24"/>
        </w:rPr>
        <w:t>a</w:t>
      </w:r>
      <w:r w:rsidR="00F75D0D">
        <w:rPr>
          <w:rFonts w:ascii="Times New Roman" w:hAnsi="Times New Roman" w:cs="Times New Roman"/>
          <w:sz w:val="24"/>
        </w:rPr>
        <w:t xml:space="preserve"> </w:t>
      </w:r>
      <w:r w:rsidR="009E3436">
        <w:rPr>
          <w:rFonts w:ascii="Times New Roman" w:hAnsi="Times New Roman" w:cs="Times New Roman"/>
          <w:sz w:val="24"/>
        </w:rPr>
        <w:t xml:space="preserve">Ana Mª Comesaña López </w:t>
      </w:r>
      <w:r w:rsidR="00CB4576">
        <w:rPr>
          <w:rFonts w:ascii="Times New Roman" w:hAnsi="Times New Roman" w:cs="Times New Roman"/>
          <w:sz w:val="24"/>
        </w:rPr>
        <w:t>co</w:t>
      </w:r>
      <w:r w:rsidR="009E3436">
        <w:rPr>
          <w:rFonts w:ascii="Times New Roman" w:hAnsi="Times New Roman" w:cs="Times New Roman"/>
          <w:sz w:val="24"/>
        </w:rPr>
        <w:t>n «La cólera de Chuck Nunn Junior: presencia de Homero en un relato de David</w:t>
      </w:r>
      <w:r w:rsidR="0010291D">
        <w:rPr>
          <w:rFonts w:ascii="Times New Roman" w:hAnsi="Times New Roman" w:cs="Times New Roman"/>
          <w:sz w:val="24"/>
        </w:rPr>
        <w:t xml:space="preserve"> Foster Wallace» (pp. 587-594)</w:t>
      </w:r>
      <w:r w:rsidR="00CB45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CB4576">
        <w:rPr>
          <w:rFonts w:ascii="Times New Roman" w:hAnsi="Times New Roman" w:cs="Times New Roman"/>
          <w:sz w:val="24"/>
        </w:rPr>
        <w:t>a Ana Isabel Fernández Galvín</w:t>
      </w:r>
      <w:r w:rsidR="00DE5B94">
        <w:rPr>
          <w:rFonts w:ascii="Times New Roman" w:hAnsi="Times New Roman" w:cs="Times New Roman"/>
          <w:sz w:val="24"/>
        </w:rPr>
        <w:t xml:space="preserve"> </w:t>
      </w:r>
      <w:r w:rsidR="00CB4576">
        <w:rPr>
          <w:rFonts w:ascii="Times New Roman" w:hAnsi="Times New Roman" w:cs="Times New Roman"/>
          <w:sz w:val="24"/>
        </w:rPr>
        <w:t>c</w:t>
      </w:r>
      <w:r w:rsidR="00632335">
        <w:rPr>
          <w:rFonts w:ascii="Times New Roman" w:hAnsi="Times New Roman" w:cs="Times New Roman"/>
          <w:sz w:val="24"/>
        </w:rPr>
        <w:t>on «La tradición clásica en la obra narrativa de K. E. Tsirópoulos</w:t>
      </w:r>
      <w:r w:rsidR="00B83006">
        <w:rPr>
          <w:rFonts w:ascii="Times New Roman" w:hAnsi="Times New Roman" w:cs="Times New Roman"/>
          <w:sz w:val="24"/>
        </w:rPr>
        <w:t>» (pp. 595-602),</w:t>
      </w:r>
      <w:r w:rsidR="00776C59">
        <w:rPr>
          <w:rFonts w:ascii="Times New Roman" w:hAnsi="Times New Roman" w:cs="Times New Roman"/>
          <w:sz w:val="24"/>
        </w:rPr>
        <w:t xml:space="preserve"> </w:t>
      </w:r>
      <w:r w:rsidR="00CB4576">
        <w:rPr>
          <w:rFonts w:ascii="Times New Roman" w:hAnsi="Times New Roman" w:cs="Times New Roman"/>
          <w:sz w:val="24"/>
        </w:rPr>
        <w:t>a María Isabel González Arena con</w:t>
      </w:r>
      <w:r w:rsidR="0082688E">
        <w:rPr>
          <w:rFonts w:ascii="Times New Roman" w:hAnsi="Times New Roman" w:cs="Times New Roman"/>
          <w:sz w:val="24"/>
        </w:rPr>
        <w:t xml:space="preserve"> «La construcción paródica del mito de la caverna en el siglo XX: de Platón a Virgilio Piñera» (pp. 613-620), </w:t>
      </w:r>
      <w:r w:rsidR="00CB4576">
        <w:rPr>
          <w:rFonts w:ascii="Times New Roman" w:hAnsi="Times New Roman" w:cs="Times New Roman"/>
          <w:sz w:val="24"/>
        </w:rPr>
        <w:t>a Helena González-Vaquerizo</w:t>
      </w:r>
      <w:r w:rsidR="000E54C2">
        <w:rPr>
          <w:rFonts w:ascii="Times New Roman" w:hAnsi="Times New Roman" w:cs="Times New Roman"/>
          <w:sz w:val="24"/>
        </w:rPr>
        <w:t xml:space="preserve"> con</w:t>
      </w:r>
      <w:r w:rsidR="00345679">
        <w:rPr>
          <w:rFonts w:ascii="Times New Roman" w:hAnsi="Times New Roman" w:cs="Times New Roman"/>
          <w:sz w:val="24"/>
        </w:rPr>
        <w:t xml:space="preserve"> «El poeta es </w:t>
      </w:r>
      <w:r w:rsidR="00345679">
        <w:rPr>
          <w:rFonts w:ascii="Times New Roman" w:hAnsi="Times New Roman" w:cs="Times New Roman"/>
          <w:sz w:val="24"/>
        </w:rPr>
        <w:lastRenderedPageBreak/>
        <w:t xml:space="preserve">un fingidor y los cretenses no dejan de mentir: de las mentiras del Ulises homérico a la </w:t>
      </w:r>
      <w:r w:rsidR="00345679">
        <w:rPr>
          <w:rFonts w:ascii="Times New Roman" w:hAnsi="Times New Roman" w:cs="Times New Roman"/>
          <w:i/>
          <w:sz w:val="24"/>
        </w:rPr>
        <w:t xml:space="preserve">Odisea </w:t>
      </w:r>
      <w:r w:rsidR="00345679">
        <w:rPr>
          <w:rFonts w:ascii="Times New Roman" w:hAnsi="Times New Roman" w:cs="Times New Roman"/>
          <w:sz w:val="24"/>
        </w:rPr>
        <w:t xml:space="preserve">de Nikos Kazantzakis» (pp. 621-632), </w:t>
      </w:r>
      <w:r w:rsidR="00CB4576">
        <w:rPr>
          <w:rFonts w:ascii="Times New Roman" w:hAnsi="Times New Roman" w:cs="Times New Roman"/>
          <w:sz w:val="24"/>
        </w:rPr>
        <w:t>a</w:t>
      </w:r>
      <w:r w:rsidR="00345679">
        <w:rPr>
          <w:rFonts w:ascii="Times New Roman" w:hAnsi="Times New Roman" w:cs="Times New Roman"/>
          <w:sz w:val="24"/>
        </w:rPr>
        <w:t xml:space="preserve"> </w:t>
      </w:r>
      <w:r w:rsidR="00E72558">
        <w:rPr>
          <w:rFonts w:ascii="Times New Roman" w:hAnsi="Times New Roman" w:cs="Times New Roman"/>
          <w:sz w:val="24"/>
        </w:rPr>
        <w:t xml:space="preserve">Lorena Jiménez Justicia </w:t>
      </w:r>
      <w:r w:rsidR="00B81E12">
        <w:rPr>
          <w:rFonts w:ascii="Times New Roman" w:hAnsi="Times New Roman" w:cs="Times New Roman"/>
          <w:sz w:val="24"/>
        </w:rPr>
        <w:t>con</w:t>
      </w:r>
      <w:r w:rsidR="00E72558">
        <w:rPr>
          <w:rFonts w:ascii="Times New Roman" w:hAnsi="Times New Roman" w:cs="Times New Roman"/>
          <w:sz w:val="24"/>
        </w:rPr>
        <w:t xml:space="preserve"> «El héroe fracasado: </w:t>
      </w:r>
      <w:r w:rsidR="00E72558">
        <w:rPr>
          <w:rFonts w:ascii="Times New Roman" w:hAnsi="Times New Roman" w:cs="Times New Roman"/>
          <w:i/>
          <w:sz w:val="24"/>
        </w:rPr>
        <w:t xml:space="preserve">Hércules y el establo de Augías </w:t>
      </w:r>
      <w:r w:rsidR="00E72558">
        <w:rPr>
          <w:rFonts w:ascii="Times New Roman" w:hAnsi="Times New Roman" w:cs="Times New Roman"/>
          <w:sz w:val="24"/>
        </w:rPr>
        <w:t>de Friedrich Dürrenmatt»</w:t>
      </w:r>
      <w:r w:rsidR="00372ED8">
        <w:rPr>
          <w:rFonts w:ascii="Times New Roman" w:hAnsi="Times New Roman" w:cs="Times New Roman"/>
          <w:sz w:val="24"/>
        </w:rPr>
        <w:t xml:space="preserve"> (pp. 657-664)</w:t>
      </w:r>
      <w:r w:rsidR="00993D3B">
        <w:rPr>
          <w:rFonts w:ascii="Times New Roman" w:hAnsi="Times New Roman" w:cs="Times New Roman"/>
          <w:sz w:val="24"/>
        </w:rPr>
        <w:t>,</w:t>
      </w:r>
      <w:r w:rsidR="00372ED8">
        <w:rPr>
          <w:rFonts w:ascii="Times New Roman" w:hAnsi="Times New Roman" w:cs="Times New Roman"/>
          <w:sz w:val="24"/>
        </w:rPr>
        <w:t xml:space="preserve"> </w:t>
      </w:r>
      <w:r w:rsidR="00481B70">
        <w:rPr>
          <w:rFonts w:ascii="Times New Roman" w:hAnsi="Times New Roman" w:cs="Times New Roman"/>
          <w:sz w:val="24"/>
        </w:rPr>
        <w:t>a Aurora Martínez Ezquerro con</w:t>
      </w:r>
      <w:r w:rsidR="00D323A7">
        <w:rPr>
          <w:rFonts w:ascii="Times New Roman" w:hAnsi="Times New Roman" w:cs="Times New Roman"/>
          <w:sz w:val="24"/>
        </w:rPr>
        <w:t xml:space="preserve"> «El </w:t>
      </w:r>
      <w:r w:rsidR="00D323A7">
        <w:rPr>
          <w:rFonts w:ascii="Times New Roman" w:hAnsi="Times New Roman" w:cs="Times New Roman"/>
          <w:i/>
          <w:sz w:val="24"/>
        </w:rPr>
        <w:t>Locus amoenus</w:t>
      </w:r>
      <w:r w:rsidR="00D323A7">
        <w:rPr>
          <w:rFonts w:ascii="Times New Roman" w:hAnsi="Times New Roman" w:cs="Times New Roman"/>
          <w:sz w:val="24"/>
        </w:rPr>
        <w:t xml:space="preserve"> o la creación de un espacio utópico: tradición clásica en la publicidad actual» (pp. 665-672), </w:t>
      </w:r>
      <w:r w:rsidR="00481B70">
        <w:rPr>
          <w:rFonts w:ascii="Times New Roman" w:hAnsi="Times New Roman" w:cs="Times New Roman"/>
          <w:sz w:val="24"/>
        </w:rPr>
        <w:t>a Pedro Jesús Molina Muñoz con</w:t>
      </w:r>
      <w:r w:rsidR="00A3398A">
        <w:rPr>
          <w:rFonts w:ascii="Times New Roman" w:hAnsi="Times New Roman" w:cs="Times New Roman"/>
          <w:sz w:val="24"/>
        </w:rPr>
        <w:t xml:space="preserve"> «El nuevo triunfo de Dioniso: tradiciones y ritos en la Grecia moderna» (pp. 673-680), </w:t>
      </w:r>
      <w:r w:rsidR="00481B70">
        <w:rPr>
          <w:rFonts w:ascii="Times New Roman" w:hAnsi="Times New Roman" w:cs="Times New Roman"/>
          <w:sz w:val="24"/>
        </w:rPr>
        <w:t>a</w:t>
      </w:r>
      <w:r w:rsidR="00835FAC">
        <w:rPr>
          <w:rFonts w:ascii="Times New Roman" w:hAnsi="Times New Roman" w:cs="Times New Roman"/>
          <w:sz w:val="24"/>
        </w:rPr>
        <w:t xml:space="preserve"> </w:t>
      </w:r>
      <w:r w:rsidR="008E18F2">
        <w:rPr>
          <w:rFonts w:ascii="Times New Roman" w:hAnsi="Times New Roman" w:cs="Times New Roman"/>
          <w:sz w:val="24"/>
        </w:rPr>
        <w:t xml:space="preserve">Andrés Ortega Garrido </w:t>
      </w:r>
      <w:r w:rsidR="00481B70">
        <w:rPr>
          <w:rFonts w:ascii="Times New Roman" w:hAnsi="Times New Roman" w:cs="Times New Roman"/>
          <w:sz w:val="24"/>
        </w:rPr>
        <w:t>co</w:t>
      </w:r>
      <w:r w:rsidR="008E18F2">
        <w:rPr>
          <w:rFonts w:ascii="Times New Roman" w:hAnsi="Times New Roman" w:cs="Times New Roman"/>
          <w:sz w:val="24"/>
        </w:rPr>
        <w:t xml:space="preserve">n «Las ninfas clásicas en los poetas del grupo del 27» (pp. 681-690) </w:t>
      </w:r>
      <w:r w:rsidR="00481B70">
        <w:rPr>
          <w:rFonts w:ascii="Times New Roman" w:hAnsi="Times New Roman" w:cs="Times New Roman"/>
          <w:sz w:val="24"/>
        </w:rPr>
        <w:t>a</w:t>
      </w:r>
      <w:r w:rsidR="00814DF7">
        <w:rPr>
          <w:rFonts w:ascii="Times New Roman" w:hAnsi="Times New Roman" w:cs="Times New Roman"/>
          <w:sz w:val="24"/>
        </w:rPr>
        <w:t xml:space="preserve"> Nuria Pombo Gallego </w:t>
      </w:r>
      <w:r w:rsidR="00481B70">
        <w:rPr>
          <w:rFonts w:ascii="Times New Roman" w:hAnsi="Times New Roman" w:cs="Times New Roman"/>
          <w:sz w:val="24"/>
        </w:rPr>
        <w:t>con</w:t>
      </w:r>
      <w:r w:rsidR="00814DF7">
        <w:rPr>
          <w:rFonts w:ascii="Times New Roman" w:hAnsi="Times New Roman" w:cs="Times New Roman"/>
          <w:sz w:val="24"/>
        </w:rPr>
        <w:t xml:space="preserve"> su «La representación cinematográfica de la</w:t>
      </w:r>
      <w:r w:rsidR="000F3EB5">
        <w:rPr>
          <w:rFonts w:ascii="Times New Roman" w:hAnsi="Times New Roman" w:cs="Times New Roman"/>
          <w:sz w:val="24"/>
        </w:rPr>
        <w:t xml:space="preserve"> cultura minoica» (pp. 707-714</w:t>
      </w:r>
      <w:r w:rsidR="00481B70">
        <w:rPr>
          <w:rFonts w:ascii="Times New Roman" w:hAnsi="Times New Roman" w:cs="Times New Roman"/>
          <w:sz w:val="24"/>
        </w:rPr>
        <w:t xml:space="preserve">) a </w:t>
      </w:r>
      <w:r w:rsidR="00294219">
        <w:rPr>
          <w:rFonts w:ascii="Times New Roman" w:hAnsi="Times New Roman" w:cs="Times New Roman"/>
          <w:sz w:val="24"/>
        </w:rPr>
        <w:t xml:space="preserve">Francisco Miguel del Rincón Sánchez </w:t>
      </w:r>
      <w:r w:rsidR="00481B70">
        <w:rPr>
          <w:rFonts w:ascii="Times New Roman" w:hAnsi="Times New Roman" w:cs="Times New Roman"/>
          <w:sz w:val="24"/>
        </w:rPr>
        <w:t>co</w:t>
      </w:r>
      <w:r w:rsidR="00BF42A2">
        <w:rPr>
          <w:rFonts w:ascii="Times New Roman" w:hAnsi="Times New Roman" w:cs="Times New Roman"/>
          <w:sz w:val="24"/>
        </w:rPr>
        <w:t xml:space="preserve">n </w:t>
      </w:r>
      <w:r w:rsidR="00294219">
        <w:rPr>
          <w:rFonts w:ascii="Times New Roman" w:hAnsi="Times New Roman" w:cs="Times New Roman"/>
          <w:sz w:val="24"/>
        </w:rPr>
        <w:t>«</w:t>
      </w:r>
      <w:r w:rsidR="00294219">
        <w:rPr>
          <w:rFonts w:ascii="Times New Roman" w:hAnsi="Times New Roman" w:cs="Times New Roman"/>
          <w:i/>
          <w:sz w:val="24"/>
        </w:rPr>
        <w:t>Las tetas de Tiresias</w:t>
      </w:r>
      <w:r w:rsidR="00294219">
        <w:rPr>
          <w:rFonts w:ascii="Times New Roman" w:hAnsi="Times New Roman" w:cs="Times New Roman"/>
          <w:sz w:val="24"/>
        </w:rPr>
        <w:t>: un drama y una ópera sobre el adivino que cambió de sexo»</w:t>
      </w:r>
      <w:r w:rsidR="00BD6023">
        <w:rPr>
          <w:rFonts w:ascii="Times New Roman" w:hAnsi="Times New Roman" w:cs="Times New Roman"/>
          <w:sz w:val="24"/>
        </w:rPr>
        <w:t xml:space="preserve"> (pp. 739-746</w:t>
      </w:r>
      <w:r w:rsidR="00BF42A2">
        <w:rPr>
          <w:rFonts w:ascii="Times New Roman" w:hAnsi="Times New Roman" w:cs="Times New Roman"/>
          <w:sz w:val="24"/>
        </w:rPr>
        <w:t>)</w:t>
      </w:r>
      <w:r w:rsidR="00481B70">
        <w:rPr>
          <w:rFonts w:ascii="Times New Roman" w:hAnsi="Times New Roman" w:cs="Times New Roman"/>
          <w:sz w:val="24"/>
        </w:rPr>
        <w:t>, a Luis Miguel Suárez Martínez con</w:t>
      </w:r>
      <w:r w:rsidR="000760C4">
        <w:rPr>
          <w:rFonts w:ascii="Times New Roman" w:hAnsi="Times New Roman" w:cs="Times New Roman"/>
          <w:sz w:val="24"/>
        </w:rPr>
        <w:t xml:space="preserve"> «Culturalismo y cultura grecolatina en dos poemas de </w:t>
      </w:r>
      <w:r w:rsidR="000760C4">
        <w:rPr>
          <w:rFonts w:ascii="Times New Roman" w:hAnsi="Times New Roman" w:cs="Times New Roman"/>
          <w:i/>
          <w:sz w:val="24"/>
        </w:rPr>
        <w:t xml:space="preserve">Syrtes </w:t>
      </w:r>
      <w:r w:rsidR="000760C4">
        <w:rPr>
          <w:rFonts w:ascii="Times New Roman" w:hAnsi="Times New Roman" w:cs="Times New Roman"/>
          <w:sz w:val="24"/>
        </w:rPr>
        <w:t>de Luis Antonio de Villena» (pp. 775-782)</w:t>
      </w:r>
      <w:r w:rsidR="00481B70">
        <w:rPr>
          <w:rFonts w:ascii="Times New Roman" w:hAnsi="Times New Roman" w:cs="Times New Roman"/>
          <w:sz w:val="24"/>
        </w:rPr>
        <w:t>, a Diego Vicente Sobradillo con</w:t>
      </w:r>
      <w:r w:rsidR="000760C4">
        <w:rPr>
          <w:rFonts w:ascii="Times New Roman" w:hAnsi="Times New Roman" w:cs="Times New Roman"/>
          <w:sz w:val="24"/>
        </w:rPr>
        <w:t xml:space="preserve"> </w:t>
      </w:r>
      <w:r w:rsidR="00EF2487">
        <w:rPr>
          <w:rFonts w:ascii="Times New Roman" w:hAnsi="Times New Roman" w:cs="Times New Roman"/>
          <w:sz w:val="24"/>
        </w:rPr>
        <w:t xml:space="preserve"> «Los bucólicos griegos en la narrativa japonesa del siglo XX: el </w:t>
      </w:r>
      <w:r w:rsidR="00EF2487">
        <w:rPr>
          <w:rFonts w:ascii="Times New Roman" w:hAnsi="Times New Roman" w:cs="Times New Roman"/>
          <w:i/>
          <w:sz w:val="24"/>
        </w:rPr>
        <w:t xml:space="preserve">Rumor del oleaje </w:t>
      </w:r>
      <w:r w:rsidR="00EF2487">
        <w:rPr>
          <w:rFonts w:ascii="Times New Roman" w:hAnsi="Times New Roman" w:cs="Times New Roman"/>
          <w:sz w:val="24"/>
        </w:rPr>
        <w:t xml:space="preserve">de Yukio Mishima» (pp. 791-798) </w:t>
      </w:r>
      <w:r w:rsidR="00481B70">
        <w:rPr>
          <w:rFonts w:ascii="Times New Roman" w:hAnsi="Times New Roman" w:cs="Times New Roman"/>
          <w:sz w:val="24"/>
        </w:rPr>
        <w:t>y a</w:t>
      </w:r>
      <w:r w:rsidR="00EF2487">
        <w:rPr>
          <w:rFonts w:ascii="Times New Roman" w:hAnsi="Times New Roman" w:cs="Times New Roman"/>
          <w:sz w:val="24"/>
        </w:rPr>
        <w:t xml:space="preserve"> Paola Volpe Cacciatore</w:t>
      </w:r>
      <w:r w:rsidR="00481B70">
        <w:rPr>
          <w:rFonts w:ascii="Times New Roman" w:hAnsi="Times New Roman" w:cs="Times New Roman"/>
          <w:sz w:val="24"/>
        </w:rPr>
        <w:t xml:space="preserve"> con</w:t>
      </w:r>
      <w:r w:rsidR="00EF2487">
        <w:rPr>
          <w:rFonts w:ascii="Times New Roman" w:hAnsi="Times New Roman" w:cs="Times New Roman"/>
          <w:sz w:val="24"/>
        </w:rPr>
        <w:t xml:space="preserve"> «La </w:t>
      </w:r>
      <w:r w:rsidR="00EF2487">
        <w:rPr>
          <w:rFonts w:ascii="Times New Roman" w:hAnsi="Times New Roman" w:cs="Times New Roman"/>
          <w:i/>
          <w:sz w:val="24"/>
        </w:rPr>
        <w:t xml:space="preserve">Fedra </w:t>
      </w:r>
      <w:r w:rsidR="00EF2487">
        <w:rPr>
          <w:rFonts w:ascii="Times New Roman" w:hAnsi="Times New Roman" w:cs="Times New Roman"/>
          <w:sz w:val="24"/>
        </w:rPr>
        <w:t xml:space="preserve">di Miguel de Unamuno: dall’acusa al perdono» (pp. </w:t>
      </w:r>
      <w:r w:rsidR="00AB6625">
        <w:rPr>
          <w:rFonts w:ascii="Times New Roman" w:hAnsi="Times New Roman" w:cs="Times New Roman"/>
          <w:sz w:val="24"/>
        </w:rPr>
        <w:t>799-808).</w:t>
      </w:r>
      <w:r w:rsidR="00342C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Cabrían </w:t>
      </w:r>
      <w:r w:rsidR="00342CCC">
        <w:rPr>
          <w:rFonts w:ascii="Times New Roman" w:hAnsi="Times New Roman" w:cs="Times New Roman"/>
          <w:sz w:val="24"/>
        </w:rPr>
        <w:t xml:space="preserve">destacar los peculiares usos que se hacen, por ejemplo, de mano de Foster Wallace y sus reelaboraciones del tema homérico, o el uso paródico que hace Virgilio Piñera del mundo clásico pero, sobre todo, </w:t>
      </w:r>
      <w:r>
        <w:rPr>
          <w:rFonts w:ascii="Times New Roman" w:hAnsi="Times New Roman" w:cs="Times New Roman"/>
          <w:sz w:val="24"/>
        </w:rPr>
        <w:t>lo que llama la atención</w:t>
      </w:r>
      <w:r w:rsidR="00776C59">
        <w:rPr>
          <w:rFonts w:ascii="Times New Roman" w:hAnsi="Times New Roman" w:cs="Times New Roman"/>
          <w:sz w:val="24"/>
        </w:rPr>
        <w:t xml:space="preserve">, más que </w:t>
      </w:r>
      <w:r>
        <w:rPr>
          <w:rFonts w:ascii="Times New Roman" w:hAnsi="Times New Roman" w:cs="Times New Roman"/>
          <w:sz w:val="24"/>
        </w:rPr>
        <w:t xml:space="preserve">las </w:t>
      </w:r>
      <w:r w:rsidR="00776C59">
        <w:rPr>
          <w:rFonts w:ascii="Times New Roman" w:hAnsi="Times New Roman" w:cs="Times New Roman"/>
          <w:sz w:val="24"/>
        </w:rPr>
        <w:t>contribuciones concretas,</w:t>
      </w:r>
      <w:r>
        <w:rPr>
          <w:rFonts w:ascii="Times New Roman" w:hAnsi="Times New Roman" w:cs="Times New Roman"/>
          <w:sz w:val="24"/>
        </w:rPr>
        <w:t xml:space="preserve"> es que,</w:t>
      </w:r>
      <w:r w:rsidR="00776C59">
        <w:rPr>
          <w:rFonts w:ascii="Times New Roman" w:hAnsi="Times New Roman" w:cs="Times New Roman"/>
          <w:sz w:val="24"/>
        </w:rPr>
        <w:t xml:space="preserve"> en primer lugar, </w:t>
      </w:r>
      <w:r>
        <w:rPr>
          <w:rFonts w:ascii="Times New Roman" w:hAnsi="Times New Roman" w:cs="Times New Roman"/>
          <w:sz w:val="24"/>
        </w:rPr>
        <w:t>es</w:t>
      </w:r>
      <w:r w:rsidR="00776C59">
        <w:rPr>
          <w:rFonts w:ascii="Times New Roman" w:hAnsi="Times New Roman" w:cs="Times New Roman"/>
          <w:sz w:val="24"/>
        </w:rPr>
        <w:t xml:space="preserve"> el más nutrido de los</w:t>
      </w:r>
      <w:r w:rsidR="000F7EEB">
        <w:rPr>
          <w:rFonts w:ascii="Times New Roman" w:hAnsi="Times New Roman" w:cs="Times New Roman"/>
          <w:sz w:val="24"/>
        </w:rPr>
        <w:t xml:space="preserve"> bloques</w:t>
      </w:r>
      <w:r w:rsidR="00776C59">
        <w:rPr>
          <w:rFonts w:ascii="Times New Roman" w:hAnsi="Times New Roman" w:cs="Times New Roman"/>
          <w:sz w:val="24"/>
        </w:rPr>
        <w:t xml:space="preserve"> expuestos aquí y, en segundo (aunque no es exclusivo de esta parte) la variedad temática de esas contribuciones, algo que confirma el hecho que </w:t>
      </w:r>
      <w:r w:rsidR="00793769">
        <w:rPr>
          <w:rFonts w:ascii="Times New Roman" w:hAnsi="Times New Roman" w:cs="Times New Roman"/>
          <w:sz w:val="24"/>
        </w:rPr>
        <w:t xml:space="preserve">se señalaba </w:t>
      </w:r>
      <w:r w:rsidR="00776C59">
        <w:rPr>
          <w:rFonts w:ascii="Times New Roman" w:hAnsi="Times New Roman" w:cs="Times New Roman"/>
          <w:sz w:val="24"/>
        </w:rPr>
        <w:t>al principio: el legado clásico es algo intrínseco a la cultura contemporánea</w:t>
      </w:r>
      <w:r w:rsidR="005E5476">
        <w:rPr>
          <w:rFonts w:ascii="Times New Roman" w:hAnsi="Times New Roman" w:cs="Times New Roman"/>
          <w:sz w:val="24"/>
        </w:rPr>
        <w:t>, algo</w:t>
      </w:r>
      <w:r w:rsidR="00793769">
        <w:rPr>
          <w:rFonts w:ascii="Times New Roman" w:hAnsi="Times New Roman" w:cs="Times New Roman"/>
          <w:sz w:val="24"/>
        </w:rPr>
        <w:t xml:space="preserve"> de lo que se han apropiado los autores</w:t>
      </w:r>
      <w:r w:rsidR="00776C59" w:rsidRPr="00776C59">
        <w:rPr>
          <w:rFonts w:ascii="Times New Roman" w:hAnsi="Times New Roman" w:cs="Times New Roman"/>
          <w:sz w:val="24"/>
        </w:rPr>
        <w:t xml:space="preserve"> como un medio para entender o expresar mejor el mundo que nos rodea. </w:t>
      </w:r>
    </w:p>
    <w:p w14:paraId="2996BBD5" w14:textId="10D11E9E" w:rsidR="00F93964" w:rsidRPr="00541F11" w:rsidRDefault="00F93964" w:rsidP="00F9396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Sánchez Pérez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541F11">
        <w:rPr>
          <w:rFonts w:ascii="Times New Roman" w:hAnsi="Times New Roman" w:cs="Times New Roman"/>
        </w:rPr>
        <w:t>Universidad Autónoma de Madrid</w:t>
      </w:r>
    </w:p>
    <w:p w14:paraId="33E933B2" w14:textId="77777777" w:rsidR="00AD675E" w:rsidRPr="00EF2487" w:rsidRDefault="00AD675E" w:rsidP="00F9396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D675E" w:rsidRPr="00EF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5"/>
    <w:rsid w:val="000541C7"/>
    <w:rsid w:val="000760C4"/>
    <w:rsid w:val="000D1DEB"/>
    <w:rsid w:val="000E54C2"/>
    <w:rsid w:val="000F3EB5"/>
    <w:rsid w:val="000F7EEB"/>
    <w:rsid w:val="0010291D"/>
    <w:rsid w:val="00123F7C"/>
    <w:rsid w:val="001649A0"/>
    <w:rsid w:val="00187625"/>
    <w:rsid w:val="001D2F5D"/>
    <w:rsid w:val="001D40B6"/>
    <w:rsid w:val="0020064D"/>
    <w:rsid w:val="00204E5D"/>
    <w:rsid w:val="002050C1"/>
    <w:rsid w:val="00223B75"/>
    <w:rsid w:val="002572BB"/>
    <w:rsid w:val="002827A6"/>
    <w:rsid w:val="00294219"/>
    <w:rsid w:val="002E59D4"/>
    <w:rsid w:val="002F4096"/>
    <w:rsid w:val="00342CCC"/>
    <w:rsid w:val="00345679"/>
    <w:rsid w:val="00352A0A"/>
    <w:rsid w:val="00372ED8"/>
    <w:rsid w:val="0038376D"/>
    <w:rsid w:val="00384C0E"/>
    <w:rsid w:val="003D3F0A"/>
    <w:rsid w:val="003D7751"/>
    <w:rsid w:val="00404D31"/>
    <w:rsid w:val="00416D1D"/>
    <w:rsid w:val="004515D6"/>
    <w:rsid w:val="0045730F"/>
    <w:rsid w:val="004671A9"/>
    <w:rsid w:val="00481B70"/>
    <w:rsid w:val="0048374D"/>
    <w:rsid w:val="0049165E"/>
    <w:rsid w:val="004C1473"/>
    <w:rsid w:val="004E0F0F"/>
    <w:rsid w:val="004E309E"/>
    <w:rsid w:val="00546A9E"/>
    <w:rsid w:val="00566C02"/>
    <w:rsid w:val="005B33B7"/>
    <w:rsid w:val="005E3CDD"/>
    <w:rsid w:val="005E5476"/>
    <w:rsid w:val="005F00D8"/>
    <w:rsid w:val="006018AC"/>
    <w:rsid w:val="00610F4B"/>
    <w:rsid w:val="00616204"/>
    <w:rsid w:val="00632335"/>
    <w:rsid w:val="00634554"/>
    <w:rsid w:val="006959F0"/>
    <w:rsid w:val="007113C0"/>
    <w:rsid w:val="0072687C"/>
    <w:rsid w:val="00731DC6"/>
    <w:rsid w:val="00775FBB"/>
    <w:rsid w:val="00776C59"/>
    <w:rsid w:val="0079374F"/>
    <w:rsid w:val="00793769"/>
    <w:rsid w:val="00795A98"/>
    <w:rsid w:val="007B790F"/>
    <w:rsid w:val="007C6391"/>
    <w:rsid w:val="007E0D59"/>
    <w:rsid w:val="00814DF7"/>
    <w:rsid w:val="0082688E"/>
    <w:rsid w:val="00835FAC"/>
    <w:rsid w:val="00857A64"/>
    <w:rsid w:val="00876538"/>
    <w:rsid w:val="008772C7"/>
    <w:rsid w:val="008C093A"/>
    <w:rsid w:val="008D2DEC"/>
    <w:rsid w:val="008E18F2"/>
    <w:rsid w:val="008F0C01"/>
    <w:rsid w:val="008F687B"/>
    <w:rsid w:val="0093178F"/>
    <w:rsid w:val="00972EE5"/>
    <w:rsid w:val="00993D3B"/>
    <w:rsid w:val="009B30E6"/>
    <w:rsid w:val="009C6E15"/>
    <w:rsid w:val="009E3436"/>
    <w:rsid w:val="00A0157B"/>
    <w:rsid w:val="00A3398A"/>
    <w:rsid w:val="00A56696"/>
    <w:rsid w:val="00A8222B"/>
    <w:rsid w:val="00A86B52"/>
    <w:rsid w:val="00AB6625"/>
    <w:rsid w:val="00AC36E0"/>
    <w:rsid w:val="00AC56A8"/>
    <w:rsid w:val="00AC67DB"/>
    <w:rsid w:val="00AD675E"/>
    <w:rsid w:val="00B11345"/>
    <w:rsid w:val="00B13834"/>
    <w:rsid w:val="00B15FCB"/>
    <w:rsid w:val="00B81E12"/>
    <w:rsid w:val="00B83006"/>
    <w:rsid w:val="00B9453C"/>
    <w:rsid w:val="00BD6023"/>
    <w:rsid w:val="00BF42A2"/>
    <w:rsid w:val="00C314F0"/>
    <w:rsid w:val="00C60DA9"/>
    <w:rsid w:val="00CB4576"/>
    <w:rsid w:val="00CD74E8"/>
    <w:rsid w:val="00CF529C"/>
    <w:rsid w:val="00D079C2"/>
    <w:rsid w:val="00D23E12"/>
    <w:rsid w:val="00D323A7"/>
    <w:rsid w:val="00D349F2"/>
    <w:rsid w:val="00D37F46"/>
    <w:rsid w:val="00D438C6"/>
    <w:rsid w:val="00D457C4"/>
    <w:rsid w:val="00D666F6"/>
    <w:rsid w:val="00D769E6"/>
    <w:rsid w:val="00D80C38"/>
    <w:rsid w:val="00D86AC5"/>
    <w:rsid w:val="00DB0199"/>
    <w:rsid w:val="00DE5B94"/>
    <w:rsid w:val="00DE6C5D"/>
    <w:rsid w:val="00DF4F0A"/>
    <w:rsid w:val="00E03950"/>
    <w:rsid w:val="00E36D26"/>
    <w:rsid w:val="00E72558"/>
    <w:rsid w:val="00E91D1B"/>
    <w:rsid w:val="00E95AE8"/>
    <w:rsid w:val="00EB5727"/>
    <w:rsid w:val="00EC185B"/>
    <w:rsid w:val="00ED447A"/>
    <w:rsid w:val="00EF2487"/>
    <w:rsid w:val="00F41962"/>
    <w:rsid w:val="00F75D0D"/>
    <w:rsid w:val="00F825D3"/>
    <w:rsid w:val="00F93964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6D78"/>
  <w15:docId w15:val="{6D0DE96E-F67A-4432-878E-D9B87B9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D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2687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87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87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87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87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2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Jesus.delaVilla</cp:lastModifiedBy>
  <cp:revision>3</cp:revision>
  <dcterms:created xsi:type="dcterms:W3CDTF">2016-04-04T10:56:00Z</dcterms:created>
  <dcterms:modified xsi:type="dcterms:W3CDTF">2016-04-04T10:58:00Z</dcterms:modified>
</cp:coreProperties>
</file>